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1CF29040"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w:t>
            </w:r>
            <w:r w:rsidR="003F7F75">
              <w:rPr>
                <w:rFonts w:ascii="Arial"/>
                <w:sz w:val="24"/>
              </w:rPr>
              <w:t xml:space="preserve"> Projects Director</w:t>
            </w:r>
          </w:p>
        </w:tc>
        <w:tc>
          <w:tcPr>
            <w:tcW w:w="4642" w:type="dxa"/>
          </w:tcPr>
          <w:p w14:paraId="2CEDDE19" w14:textId="69DB4774" w:rsidR="0082498B" w:rsidRDefault="008208FC" w:rsidP="009750CE">
            <w:pPr>
              <w:pStyle w:val="TableParagraph"/>
              <w:spacing w:before="115"/>
              <w:ind w:left="1929"/>
              <w:rPr>
                <w:rFonts w:ascii="Arial"/>
                <w:sz w:val="24"/>
              </w:rPr>
            </w:pPr>
            <w:r>
              <w:rPr>
                <w:rFonts w:ascii="Arial"/>
                <w:sz w:val="24"/>
              </w:rPr>
              <w:t>2</w:t>
            </w:r>
            <w:r w:rsidR="002331AA">
              <w:rPr>
                <w:rFonts w:ascii="Arial"/>
                <w:sz w:val="24"/>
              </w:rPr>
              <w:t>0</w:t>
            </w:r>
            <w:r w:rsidR="002331AA" w:rsidRPr="002331AA">
              <w:rPr>
                <w:rFonts w:ascii="Arial"/>
                <w:sz w:val="24"/>
                <w:vertAlign w:val="superscript"/>
              </w:rPr>
              <w:t>th</w:t>
            </w:r>
            <w:r w:rsidR="002331AA">
              <w:rPr>
                <w:rFonts w:ascii="Arial"/>
                <w:sz w:val="24"/>
              </w:rPr>
              <w:t xml:space="preserve"> January</w:t>
            </w:r>
            <w:r w:rsidR="009750CE">
              <w:rPr>
                <w:rFonts w:ascii="Arial"/>
                <w:sz w:val="24"/>
              </w:rPr>
              <w:t xml:space="preserve"> </w:t>
            </w:r>
            <w:r w:rsidR="00053B29">
              <w:rPr>
                <w:rFonts w:ascii="Arial"/>
                <w:sz w:val="24"/>
              </w:rPr>
              <w:t>202</w:t>
            </w:r>
            <w:r w:rsidR="002331AA">
              <w:rPr>
                <w:rFonts w:ascii="Arial"/>
                <w:sz w:val="24"/>
              </w:rPr>
              <w:t>3</w:t>
            </w:r>
          </w:p>
        </w:tc>
      </w:tr>
      <w:tr w:rsidR="0082498B" w14:paraId="542252ED" w14:textId="77777777" w:rsidTr="003145CD">
        <w:trPr>
          <w:trHeight w:val="572"/>
        </w:trPr>
        <w:tc>
          <w:tcPr>
            <w:tcW w:w="6287" w:type="dxa"/>
            <w:tcBorders>
              <w:bottom w:val="single" w:sz="4" w:space="0" w:color="000000"/>
            </w:tcBorders>
          </w:tcPr>
          <w:p w14:paraId="6A7C8BE8" w14:textId="5A559841" w:rsidR="0082498B" w:rsidRDefault="006A7840">
            <w:pPr>
              <w:pStyle w:val="TableParagraph"/>
              <w:spacing w:before="116"/>
              <w:ind w:left="112"/>
              <w:rPr>
                <w:rFonts w:ascii="Arial"/>
                <w:b/>
                <w:sz w:val="24"/>
              </w:rPr>
            </w:pPr>
            <w:r>
              <w:rPr>
                <w:rFonts w:ascii="Arial"/>
                <w:b/>
                <w:sz w:val="24"/>
              </w:rPr>
              <w:t>Communications Programme</w:t>
            </w:r>
            <w:r w:rsidR="003F7F75">
              <w:rPr>
                <w:rFonts w:ascii="Arial"/>
                <w:b/>
                <w:spacing w:val="-5"/>
                <w:sz w:val="24"/>
              </w:rPr>
              <w:t xml:space="preserve"> </w:t>
            </w:r>
            <w:r w:rsidR="00053B29">
              <w:rPr>
                <w:rFonts w:ascii="Arial"/>
                <w:b/>
                <w:sz w:val="24"/>
              </w:rPr>
              <w:t>Update</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73F668A8" w14:textId="71275ABD" w:rsidR="00BC0E41" w:rsidRDefault="003828A1" w:rsidP="00BC0E41">
            <w:pPr>
              <w:tabs>
                <w:tab w:val="left" w:pos="507"/>
              </w:tabs>
              <w:spacing w:before="93"/>
              <w:ind w:left="276" w:right="222"/>
              <w:rPr>
                <w:sz w:val="24"/>
              </w:rPr>
            </w:pPr>
            <w:r>
              <w:rPr>
                <w:sz w:val="24"/>
              </w:rPr>
              <w:tab/>
            </w:r>
            <w:r w:rsidR="00053B29" w:rsidRPr="003828A1">
              <w:rPr>
                <w:sz w:val="24"/>
              </w:rPr>
              <w:t>This report provides</w:t>
            </w:r>
            <w:r w:rsidRPr="003828A1">
              <w:rPr>
                <w:sz w:val="24"/>
              </w:rPr>
              <w:t xml:space="preserve"> </w:t>
            </w:r>
            <w:r>
              <w:rPr>
                <w:sz w:val="24"/>
              </w:rPr>
              <w:t>an update on the</w:t>
            </w:r>
            <w:r w:rsidR="00BC0E41">
              <w:rPr>
                <w:sz w:val="24"/>
              </w:rPr>
              <w:t xml:space="preserve"> WLWA </w:t>
            </w:r>
            <w:r w:rsidR="006A7840">
              <w:rPr>
                <w:sz w:val="24"/>
              </w:rPr>
              <w:t>Communications Programme</w:t>
            </w:r>
            <w:r>
              <w:rPr>
                <w:sz w:val="24"/>
              </w:rPr>
              <w:t>.</w:t>
            </w:r>
          </w:p>
          <w:p w14:paraId="28DEFC47" w14:textId="3C5B246B" w:rsidR="00D952C8" w:rsidRDefault="00D952C8" w:rsidP="00D952C8">
            <w:pPr>
              <w:pStyle w:val="ListParagraph"/>
              <w:numPr>
                <w:ilvl w:val="0"/>
                <w:numId w:val="17"/>
              </w:numPr>
              <w:tabs>
                <w:tab w:val="left" w:pos="507"/>
              </w:tabs>
              <w:spacing w:before="93"/>
              <w:ind w:right="222"/>
              <w:rPr>
                <w:sz w:val="24"/>
              </w:rPr>
            </w:pPr>
            <w:r>
              <w:rPr>
                <w:sz w:val="24"/>
              </w:rPr>
              <w:t>More than 60% of residual waste has existing diversion capture systems adding unnecessary cost into Borough systems, wasting resources that are permanently lost to the system. Capturing that lost material will give us the opportunity to reduce carbon impact, reduce cost, increase recycling and create the basis for a strong circular economy.</w:t>
            </w:r>
          </w:p>
          <w:p w14:paraId="7745106E" w14:textId="45642C2A" w:rsidR="006A7840" w:rsidRPr="006A7840" w:rsidRDefault="00736704" w:rsidP="006A7840">
            <w:pPr>
              <w:pStyle w:val="ListParagraph"/>
              <w:numPr>
                <w:ilvl w:val="0"/>
                <w:numId w:val="17"/>
              </w:numPr>
              <w:tabs>
                <w:tab w:val="left" w:pos="507"/>
              </w:tabs>
              <w:spacing w:before="93"/>
              <w:ind w:right="222"/>
              <w:rPr>
                <w:sz w:val="24"/>
              </w:rPr>
            </w:pPr>
            <w:r>
              <w:rPr>
                <w:sz w:val="24"/>
              </w:rPr>
              <w:t>Budgeted e</w:t>
            </w:r>
            <w:r w:rsidR="00784C31">
              <w:rPr>
                <w:sz w:val="24"/>
              </w:rPr>
              <w:t>xternal support</w:t>
            </w:r>
            <w:r>
              <w:rPr>
                <w:sz w:val="24"/>
              </w:rPr>
              <w:t xml:space="preserve"> will bring in expertise and inform changes that will assist us to move from the current steady state reasonable levels of recycling to a new knowledge base which will empower members of the public to reach new levels of recycling.</w:t>
            </w:r>
          </w:p>
          <w:p w14:paraId="6031E5DE" w14:textId="79FE2AE6" w:rsidR="00F27BA1" w:rsidRDefault="00784C31" w:rsidP="00BC0E41">
            <w:pPr>
              <w:pStyle w:val="ListParagraph"/>
              <w:numPr>
                <w:ilvl w:val="0"/>
                <w:numId w:val="17"/>
              </w:numPr>
              <w:tabs>
                <w:tab w:val="left" w:pos="507"/>
              </w:tabs>
              <w:spacing w:before="93"/>
              <w:ind w:right="222"/>
              <w:rPr>
                <w:sz w:val="24"/>
              </w:rPr>
            </w:pPr>
            <w:r>
              <w:rPr>
                <w:sz w:val="24"/>
              </w:rPr>
              <w:t>Resident insights</w:t>
            </w:r>
            <w:r w:rsidR="00D952C8">
              <w:rPr>
                <w:sz w:val="24"/>
              </w:rPr>
              <w:t xml:space="preserve"> will demonstrate how our current systems are perceived and offer opportunities to refine</w:t>
            </w:r>
            <w:r w:rsidR="00B079C4">
              <w:rPr>
                <w:sz w:val="24"/>
              </w:rPr>
              <w:t xml:space="preserve"> our</w:t>
            </w:r>
            <w:r w:rsidR="00D952C8">
              <w:rPr>
                <w:sz w:val="24"/>
              </w:rPr>
              <w:t xml:space="preserve"> message and potentially services to ensure systems are used to their maximum and materials are returned for recycling and reuse.</w:t>
            </w:r>
          </w:p>
          <w:p w14:paraId="33E7964F" w14:textId="52721E51" w:rsidR="00F27BA1" w:rsidRDefault="00784C31" w:rsidP="00BC0E41">
            <w:pPr>
              <w:pStyle w:val="ListParagraph"/>
              <w:numPr>
                <w:ilvl w:val="0"/>
                <w:numId w:val="17"/>
              </w:numPr>
              <w:tabs>
                <w:tab w:val="left" w:pos="507"/>
              </w:tabs>
              <w:spacing w:before="93"/>
              <w:ind w:right="222"/>
              <w:rPr>
                <w:sz w:val="24"/>
              </w:rPr>
            </w:pPr>
            <w:r>
              <w:rPr>
                <w:sz w:val="24"/>
              </w:rPr>
              <w:t>Working together</w:t>
            </w:r>
            <w:r w:rsidR="00D952C8">
              <w:rPr>
                <w:sz w:val="24"/>
              </w:rPr>
              <w:t xml:space="preserve"> will enable us to create consistency of message and to optimise our resources to maximum benefit.</w:t>
            </w:r>
          </w:p>
          <w:p w14:paraId="40880BC5" w14:textId="4FD56772" w:rsidR="003145CD" w:rsidRDefault="003145CD" w:rsidP="006A7840">
            <w:pPr>
              <w:pStyle w:val="ListParagraph"/>
              <w:tabs>
                <w:tab w:val="left" w:pos="507"/>
              </w:tabs>
              <w:spacing w:before="93"/>
              <w:ind w:left="996" w:right="222" w:firstLine="0"/>
              <w:rPr>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3145CD">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1104ABF5" w14:textId="052657E4" w:rsidR="001334C4" w:rsidRPr="001334C4" w:rsidRDefault="001334C4" w:rsidP="00B7120D">
            <w:pPr>
              <w:pStyle w:val="TableParagraph"/>
              <w:tabs>
                <w:tab w:val="left" w:pos="829"/>
              </w:tabs>
              <w:rPr>
                <w:rFonts w:ascii="Arial"/>
                <w:i/>
                <w:sz w:val="24"/>
              </w:rPr>
            </w:pPr>
          </w:p>
          <w:p w14:paraId="0B18A7B1" w14:textId="200AB0D2" w:rsidR="0082498B" w:rsidRDefault="00053B29">
            <w:pPr>
              <w:pStyle w:val="TableParagraph"/>
              <w:numPr>
                <w:ilvl w:val="0"/>
                <w:numId w:val="5"/>
              </w:numPr>
              <w:tabs>
                <w:tab w:val="left" w:pos="829"/>
              </w:tabs>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Pr>
                <w:rFonts w:ascii="Arial"/>
                <w:i/>
                <w:sz w:val="24"/>
              </w:rPr>
              <w:t>the</w:t>
            </w:r>
            <w:r w:rsidR="001334C4">
              <w:rPr>
                <w:rFonts w:ascii="Arial"/>
                <w:i/>
                <w:sz w:val="24"/>
              </w:rPr>
              <w:t xml:space="preserve"> </w:t>
            </w:r>
            <w:r>
              <w:rPr>
                <w:rFonts w:ascii="Arial"/>
                <w:i/>
                <w:sz w:val="24"/>
              </w:rPr>
              <w:t>information</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tc>
      </w:tr>
    </w:tbl>
    <w:p w14:paraId="4F3E442D" w14:textId="77777777" w:rsidR="0082498B" w:rsidRDefault="0082498B">
      <w:pPr>
        <w:pStyle w:val="BodyText"/>
        <w:spacing w:before="5"/>
        <w:rPr>
          <w:rFonts w:ascii="Times New Roman"/>
          <w:sz w:val="13"/>
        </w:rPr>
      </w:pPr>
    </w:p>
    <w:p w14:paraId="33D565C6" w14:textId="3F5132AB" w:rsidR="0082498B" w:rsidRPr="001B72B7" w:rsidRDefault="00E0665A" w:rsidP="00FD0E69">
      <w:pPr>
        <w:pStyle w:val="ListParagraph"/>
        <w:numPr>
          <w:ilvl w:val="0"/>
          <w:numId w:val="4"/>
        </w:numPr>
        <w:tabs>
          <w:tab w:val="left" w:pos="507"/>
        </w:tabs>
        <w:spacing w:before="93"/>
        <w:ind w:right="222" w:hanging="171"/>
        <w:rPr>
          <w:sz w:val="24"/>
        </w:rPr>
      </w:pPr>
      <w:r>
        <w:rPr>
          <w:b/>
          <w:sz w:val="24"/>
        </w:rPr>
        <w:t>Introduction</w:t>
      </w:r>
    </w:p>
    <w:p w14:paraId="2B099D9A" w14:textId="5C5C739C" w:rsidR="00B079C4" w:rsidRDefault="00B079C4" w:rsidP="003546A6">
      <w:pPr>
        <w:pStyle w:val="ListParagraph"/>
        <w:tabs>
          <w:tab w:val="left" w:pos="507"/>
        </w:tabs>
        <w:spacing w:before="93"/>
        <w:ind w:left="360" w:right="222" w:firstLine="0"/>
        <w:rPr>
          <w:sz w:val="24"/>
        </w:rPr>
      </w:pPr>
      <w:r>
        <w:rPr>
          <w:sz w:val="24"/>
        </w:rPr>
        <w:t xml:space="preserve">The communications programme in the budget for three years from 2023 is designed to measure the levels of knowledge, engagement and participation of residents across the region. This will be used to create new and direct messaging to help shift residents’ approach to waste reduction, material diversion and recycling resulting in more efficient usage of the service already provided. </w:t>
      </w:r>
    </w:p>
    <w:p w14:paraId="2AEFF36A" w14:textId="77777777" w:rsidR="00B079C4" w:rsidRPr="00ED1DD8" w:rsidRDefault="00B079C4" w:rsidP="003546A6">
      <w:pPr>
        <w:pStyle w:val="ListParagraph"/>
        <w:tabs>
          <w:tab w:val="left" w:pos="507"/>
        </w:tabs>
        <w:spacing w:before="93"/>
        <w:ind w:left="360" w:right="222" w:firstLine="0"/>
        <w:rPr>
          <w:sz w:val="24"/>
        </w:rPr>
      </w:pPr>
      <w:r w:rsidRPr="00ED1DD8">
        <w:rPr>
          <w:sz w:val="24"/>
        </w:rPr>
        <w:t>Food waste recycling is the service that most citizens don’t use (Appendix 1).  Persuading every household to recycle food waste will reduce waste, reduce cost, increase recycling and contribute to global and UK decarbonisation.  It will result in cost savings for citizens, Boroughs and WLWA.  Cost savings for WLWA and Boroughs means more money available to invest in other recycling services.  We want to normalise food waste recycling and ban food waste from the bin.</w:t>
      </w:r>
    </w:p>
    <w:p w14:paraId="5259F483" w14:textId="77777777" w:rsidR="00B079C4" w:rsidRPr="00ED1DD8" w:rsidRDefault="00B079C4" w:rsidP="003546A6">
      <w:pPr>
        <w:pStyle w:val="ListParagraph"/>
        <w:tabs>
          <w:tab w:val="left" w:pos="507"/>
        </w:tabs>
        <w:spacing w:before="93"/>
        <w:ind w:left="360" w:right="222" w:firstLine="0"/>
        <w:rPr>
          <w:sz w:val="24"/>
        </w:rPr>
      </w:pPr>
      <w:r w:rsidRPr="00ED1DD8">
        <w:rPr>
          <w:sz w:val="24"/>
        </w:rPr>
        <w:t xml:space="preserve">Plastics recycling is extremely complex, some plastics are technically and economically easy to recycle, some are very difficult.  Most plastics are made from fossil oil which is environmentally damaging.  The producers of plastic packaging want to make more and have us recycle more plastic, the public attitude appears to be for less plastic.  </w:t>
      </w:r>
    </w:p>
    <w:p w14:paraId="6006189C" w14:textId="77777777" w:rsidR="00B079C4" w:rsidRPr="00ED1DD8" w:rsidRDefault="00B079C4" w:rsidP="003546A6">
      <w:pPr>
        <w:pStyle w:val="ListParagraph"/>
        <w:tabs>
          <w:tab w:val="left" w:pos="507"/>
        </w:tabs>
        <w:spacing w:before="93"/>
        <w:ind w:left="360" w:right="222" w:firstLine="0"/>
        <w:rPr>
          <w:sz w:val="24"/>
        </w:rPr>
      </w:pPr>
      <w:r w:rsidRPr="00ED1DD8">
        <w:rPr>
          <w:sz w:val="24"/>
        </w:rPr>
        <w:t xml:space="preserve">Textile recycling is low volume but high value of both cost and carbon.  Textiles are rapidly becoming as complex as plastics with 100s of grades of different material, from </w:t>
      </w:r>
      <w:proofErr w:type="spellStart"/>
      <w:r w:rsidRPr="00ED1DD8">
        <w:rPr>
          <w:sz w:val="24"/>
        </w:rPr>
        <w:t>eg</w:t>
      </w:r>
      <w:proofErr w:type="spellEnd"/>
      <w:r>
        <w:rPr>
          <w:sz w:val="24"/>
        </w:rPr>
        <w:t>.</w:t>
      </w:r>
      <w:r w:rsidRPr="00ED1DD8">
        <w:rPr>
          <w:sz w:val="24"/>
        </w:rPr>
        <w:t xml:space="preserve"> cotton, wool, mixed fibres to types of plastic.  We want to prevent textiles from going in the bin.  </w:t>
      </w:r>
    </w:p>
    <w:p w14:paraId="64EAFC66" w14:textId="77777777" w:rsidR="00B079C4" w:rsidRPr="00ED1DD8" w:rsidRDefault="00B079C4" w:rsidP="003546A6">
      <w:pPr>
        <w:pStyle w:val="ListParagraph"/>
        <w:tabs>
          <w:tab w:val="left" w:pos="507"/>
        </w:tabs>
        <w:spacing w:before="93"/>
        <w:ind w:left="360" w:right="222" w:firstLine="0"/>
        <w:rPr>
          <w:sz w:val="24"/>
        </w:rPr>
      </w:pPr>
      <w:r w:rsidRPr="00ED1DD8">
        <w:rPr>
          <w:sz w:val="24"/>
        </w:rPr>
        <w:t>Electricals and batteries - Large electrical items are predominantly recycled if taken back in store or to HWRCs but a) small electrical items find their way into the bins and b) we need to preserve the value of the product through reuse.  Electricals and batteries in the bin cause fires and are environmentally damaging.</w:t>
      </w:r>
    </w:p>
    <w:p w14:paraId="25E1CC31" w14:textId="0D05693D" w:rsidR="00B079C4" w:rsidRPr="00ED1DD8" w:rsidRDefault="00B079C4" w:rsidP="003546A6">
      <w:pPr>
        <w:pStyle w:val="ListParagraph"/>
        <w:tabs>
          <w:tab w:val="left" w:pos="507"/>
        </w:tabs>
        <w:spacing w:before="93"/>
        <w:ind w:left="360" w:right="222" w:firstLine="0"/>
        <w:rPr>
          <w:sz w:val="24"/>
        </w:rPr>
      </w:pPr>
      <w:r>
        <w:rPr>
          <w:sz w:val="24"/>
        </w:rPr>
        <w:lastRenderedPageBreak/>
        <w:t>The o</w:t>
      </w:r>
      <w:r w:rsidRPr="00ED1DD8">
        <w:rPr>
          <w:sz w:val="24"/>
        </w:rPr>
        <w:t>utput</w:t>
      </w:r>
      <w:r>
        <w:rPr>
          <w:sz w:val="24"/>
        </w:rPr>
        <w:t xml:space="preserve"> will be</w:t>
      </w:r>
      <w:r w:rsidR="003546A6">
        <w:rPr>
          <w:sz w:val="24"/>
        </w:rPr>
        <w:t xml:space="preserve"> b</w:t>
      </w:r>
      <w:r w:rsidRPr="00ED1DD8">
        <w:rPr>
          <w:sz w:val="24"/>
        </w:rPr>
        <w:t>aseline citizen knowledge</w:t>
      </w:r>
      <w:r w:rsidR="003546A6">
        <w:rPr>
          <w:sz w:val="24"/>
        </w:rPr>
        <w:t>,</w:t>
      </w:r>
      <w:r w:rsidRPr="00ED1DD8">
        <w:rPr>
          <w:sz w:val="24"/>
        </w:rPr>
        <w:t xml:space="preserve"> understanding of complex recycling systems and the links with climate change. Create and deliver content designed to significantly increase citizen knowledge and attitudes.  Baseline again and review the waste and recycling statistics and outcome of the social value and reuse project.</w:t>
      </w:r>
    </w:p>
    <w:p w14:paraId="1E02EEA4" w14:textId="77777777" w:rsidR="00F11F08" w:rsidRPr="00310A9B" w:rsidRDefault="00F11F08" w:rsidP="00F11F08">
      <w:pPr>
        <w:pStyle w:val="ListParagraph"/>
        <w:numPr>
          <w:ilvl w:val="0"/>
          <w:numId w:val="4"/>
        </w:numPr>
        <w:tabs>
          <w:tab w:val="left" w:pos="507"/>
        </w:tabs>
        <w:spacing w:before="93"/>
        <w:ind w:right="222" w:hanging="171"/>
        <w:rPr>
          <w:sz w:val="24"/>
        </w:rPr>
      </w:pPr>
      <w:r w:rsidRPr="00C959EF">
        <w:rPr>
          <w:b/>
          <w:bCs/>
          <w:sz w:val="24"/>
          <w:szCs w:val="24"/>
        </w:rPr>
        <w:t>Waste Composition Analysis</w:t>
      </w:r>
    </w:p>
    <w:p w14:paraId="7189BDA7" w14:textId="77777777" w:rsidR="00F11F08" w:rsidRPr="00310A9B" w:rsidRDefault="00F11F08" w:rsidP="00F11F08">
      <w:pPr>
        <w:pStyle w:val="ListParagraph"/>
        <w:tabs>
          <w:tab w:val="left" w:pos="507"/>
        </w:tabs>
        <w:spacing w:before="93"/>
        <w:ind w:left="360" w:right="222" w:firstLine="0"/>
        <w:rPr>
          <w:sz w:val="24"/>
        </w:rPr>
      </w:pPr>
      <w:r w:rsidRPr="00310A9B">
        <w:rPr>
          <w:sz w:val="24"/>
        </w:rPr>
        <w:t>The 2022 waste composition analysis has been completed by Integrated Skills Ltd (ISL). To ensure consistency of methodology ISL also revisited the data from WCA in 2020 and 2021 so that we have a consistent dataset. WLWA Average composition detailed in Appendix 1.</w:t>
      </w:r>
      <w:r>
        <w:rPr>
          <w:sz w:val="24"/>
        </w:rPr>
        <w:t xml:space="preserve"> </w:t>
      </w:r>
    </w:p>
    <w:p w14:paraId="4C3D92B9" w14:textId="77777777" w:rsidR="00F11F08" w:rsidRDefault="00F11F08" w:rsidP="00F11F08">
      <w:pPr>
        <w:pStyle w:val="ListParagraph"/>
        <w:tabs>
          <w:tab w:val="left" w:pos="507"/>
        </w:tabs>
        <w:spacing w:before="93"/>
        <w:ind w:left="360" w:right="222" w:firstLine="0"/>
        <w:rPr>
          <w:sz w:val="24"/>
        </w:rPr>
      </w:pPr>
      <w:r w:rsidRPr="00555A43">
        <w:rPr>
          <w:b/>
          <w:bCs/>
          <w:sz w:val="24"/>
        </w:rPr>
        <w:t>Food waste</w:t>
      </w:r>
      <w:r>
        <w:rPr>
          <w:b/>
          <w:bCs/>
          <w:sz w:val="24"/>
        </w:rPr>
        <w:t xml:space="preserve"> </w:t>
      </w:r>
      <w:r w:rsidRPr="00555A43">
        <w:rPr>
          <w:b/>
          <w:bCs/>
          <w:sz w:val="24"/>
        </w:rPr>
        <w:t>-</w:t>
      </w:r>
      <w:r>
        <w:rPr>
          <w:sz w:val="24"/>
        </w:rPr>
        <w:t xml:space="preserve"> as reported in the last meeting </w:t>
      </w:r>
      <w:r w:rsidRPr="00555A43">
        <w:rPr>
          <w:sz w:val="24"/>
        </w:rPr>
        <w:t>food waste remains the highest proportion of the residual waste at c.34%</w:t>
      </w:r>
      <w:r>
        <w:rPr>
          <w:sz w:val="24"/>
        </w:rPr>
        <w:t>. This volume represents c.75% of the total food waste generated in the region with the remaining 25% captured in the food waste service.</w:t>
      </w:r>
    </w:p>
    <w:p w14:paraId="7132A223" w14:textId="77777777" w:rsidR="00F11F08" w:rsidRDefault="00F11F08" w:rsidP="00F11F08">
      <w:pPr>
        <w:pStyle w:val="ListParagraph"/>
        <w:tabs>
          <w:tab w:val="left" w:pos="507"/>
        </w:tabs>
        <w:spacing w:before="93"/>
        <w:ind w:left="360" w:right="222" w:firstLine="0"/>
        <w:rPr>
          <w:sz w:val="24"/>
        </w:rPr>
      </w:pPr>
      <w:r>
        <w:rPr>
          <w:b/>
          <w:bCs/>
          <w:sz w:val="24"/>
        </w:rPr>
        <w:t>Dry Mixed Recycling (DMR) –</w:t>
      </w:r>
      <w:r>
        <w:rPr>
          <w:sz w:val="24"/>
        </w:rPr>
        <w:t xml:space="preserve"> the DMR in the residual waste accounts for a further 17% of the total volume with similar volumes of glass (4%), plastic (4%), paper (3%) and card (4%). </w:t>
      </w:r>
    </w:p>
    <w:p w14:paraId="3E831E3D" w14:textId="77777777" w:rsidR="00F11F08" w:rsidRDefault="00F11F08" w:rsidP="00F11F08">
      <w:pPr>
        <w:pStyle w:val="ListParagraph"/>
        <w:tabs>
          <w:tab w:val="left" w:pos="507"/>
        </w:tabs>
        <w:spacing w:before="93"/>
        <w:ind w:left="360" w:right="222" w:firstLine="0"/>
        <w:rPr>
          <w:sz w:val="24"/>
        </w:rPr>
      </w:pPr>
      <w:r>
        <w:rPr>
          <w:b/>
          <w:bCs/>
          <w:sz w:val="24"/>
        </w:rPr>
        <w:t xml:space="preserve">Garden Waste – </w:t>
      </w:r>
      <w:r w:rsidRPr="002B775D">
        <w:rPr>
          <w:sz w:val="24"/>
        </w:rPr>
        <w:t xml:space="preserve">all Boroughs provide garden waste services however 6% of the residual </w:t>
      </w:r>
      <w:r>
        <w:rPr>
          <w:sz w:val="24"/>
        </w:rPr>
        <w:t>waste is garden waste.</w:t>
      </w:r>
    </w:p>
    <w:p w14:paraId="472BD803" w14:textId="77777777" w:rsidR="00F11F08" w:rsidRDefault="00F11F08" w:rsidP="00F11F08">
      <w:pPr>
        <w:pStyle w:val="ListParagraph"/>
        <w:tabs>
          <w:tab w:val="left" w:pos="507"/>
        </w:tabs>
        <w:spacing w:before="93"/>
        <w:ind w:left="360" w:right="222" w:firstLine="0"/>
        <w:rPr>
          <w:sz w:val="24"/>
        </w:rPr>
      </w:pPr>
      <w:r w:rsidRPr="002B775D">
        <w:rPr>
          <w:b/>
          <w:bCs/>
          <w:sz w:val="24"/>
        </w:rPr>
        <w:t>Textiles</w:t>
      </w:r>
      <w:r>
        <w:rPr>
          <w:b/>
          <w:bCs/>
          <w:sz w:val="24"/>
        </w:rPr>
        <w:t xml:space="preserve"> – </w:t>
      </w:r>
      <w:r>
        <w:rPr>
          <w:sz w:val="24"/>
        </w:rPr>
        <w:t>textiles have the highest embedded carbon of all the materials disposed of in the residual. This high carbon content combined with the volume (4%) puts textiles as a priority target for intervention. Free household textile collections are available across the Boroughs through our partnership with TRAID.</w:t>
      </w:r>
    </w:p>
    <w:p w14:paraId="780ABA5C" w14:textId="77777777" w:rsidR="00F11F08" w:rsidRPr="006368AB" w:rsidRDefault="00F11F08" w:rsidP="00F11F08">
      <w:pPr>
        <w:pStyle w:val="ListParagraph"/>
        <w:tabs>
          <w:tab w:val="left" w:pos="507"/>
        </w:tabs>
        <w:spacing w:before="93"/>
        <w:ind w:left="360" w:right="222" w:firstLine="0"/>
        <w:rPr>
          <w:b/>
          <w:bCs/>
          <w:sz w:val="24"/>
        </w:rPr>
      </w:pPr>
      <w:r>
        <w:rPr>
          <w:b/>
          <w:bCs/>
          <w:sz w:val="24"/>
        </w:rPr>
        <w:t>Waste Electricals –</w:t>
      </w:r>
      <w:r>
        <w:rPr>
          <w:sz w:val="24"/>
        </w:rPr>
        <w:t xml:space="preserve"> </w:t>
      </w:r>
      <w:r w:rsidRPr="006368AB">
        <w:rPr>
          <w:sz w:val="24"/>
        </w:rPr>
        <w:t>There</w:t>
      </w:r>
      <w:r>
        <w:rPr>
          <w:sz w:val="24"/>
        </w:rPr>
        <w:t xml:space="preserve"> the composition analysis shows the continuing trend for waste electricals (1%) to be disposed of in the residual waste. This poses a risk to Borough and WLWA operations through fires caused by batteries and capacitors in waste electricals. The TRAID textiles service available across the Boroughs is trailing the collection of separately presented waste electricals with a bag of textiles.</w:t>
      </w:r>
    </w:p>
    <w:p w14:paraId="4E9C625E" w14:textId="77777777" w:rsidR="00F11F08" w:rsidRDefault="00F11F08" w:rsidP="00F11F08">
      <w:pPr>
        <w:pStyle w:val="ListParagraph"/>
        <w:tabs>
          <w:tab w:val="left" w:pos="507"/>
        </w:tabs>
        <w:spacing w:before="93"/>
        <w:ind w:left="360" w:right="222" w:firstLine="0"/>
        <w:rPr>
          <w:sz w:val="24"/>
        </w:rPr>
      </w:pPr>
      <w:r w:rsidRPr="002B775D">
        <w:rPr>
          <w:sz w:val="24"/>
        </w:rPr>
        <w:t xml:space="preserve">The overall proportions of the waste composition </w:t>
      </w:r>
      <w:r>
        <w:rPr>
          <w:sz w:val="24"/>
        </w:rPr>
        <w:t>show</w:t>
      </w:r>
      <w:r w:rsidRPr="002B775D">
        <w:rPr>
          <w:sz w:val="24"/>
        </w:rPr>
        <w:t xml:space="preserve"> that</w:t>
      </w:r>
      <w:r>
        <w:rPr>
          <w:sz w:val="24"/>
        </w:rPr>
        <w:t xml:space="preserve"> on average</w:t>
      </w:r>
      <w:r w:rsidRPr="002B775D">
        <w:rPr>
          <w:sz w:val="24"/>
        </w:rPr>
        <w:t xml:space="preserve"> </w:t>
      </w:r>
      <w:r>
        <w:rPr>
          <w:sz w:val="24"/>
        </w:rPr>
        <w:t>more than 62% of the material disposed of into residual waste has an alternative capture route, mainly at the household. This represents a significant loss in carbon, recycling rate and efficiency.</w:t>
      </w:r>
    </w:p>
    <w:p w14:paraId="4B7BD1C0" w14:textId="58BAA514" w:rsidR="000120B5" w:rsidRPr="000120B5" w:rsidRDefault="000120B5" w:rsidP="00D74887">
      <w:pPr>
        <w:pStyle w:val="ListParagraph"/>
        <w:tabs>
          <w:tab w:val="left" w:pos="507"/>
        </w:tabs>
        <w:spacing w:before="93"/>
        <w:ind w:left="360" w:right="222" w:firstLine="0"/>
        <w:rPr>
          <w:sz w:val="24"/>
        </w:rPr>
      </w:pPr>
    </w:p>
    <w:p w14:paraId="5B0CC228" w14:textId="6CFB06AE" w:rsidR="00ED1DD8" w:rsidRDefault="00ED1DD8" w:rsidP="00D74887">
      <w:pPr>
        <w:pStyle w:val="ListParagraph"/>
        <w:numPr>
          <w:ilvl w:val="0"/>
          <w:numId w:val="4"/>
        </w:numPr>
        <w:tabs>
          <w:tab w:val="left" w:pos="507"/>
        </w:tabs>
        <w:spacing w:before="93"/>
        <w:ind w:right="222"/>
        <w:rPr>
          <w:sz w:val="24"/>
        </w:rPr>
      </w:pPr>
      <w:r>
        <w:rPr>
          <w:b/>
          <w:bCs/>
          <w:sz w:val="24"/>
        </w:rPr>
        <w:t>Joint Borough Communications –</w:t>
      </w:r>
      <w:r>
        <w:rPr>
          <w:sz w:val="24"/>
        </w:rPr>
        <w:t xml:space="preserve"> the joint communications group has had a further meeting in December attended by</w:t>
      </w:r>
      <w:r w:rsidR="00B079C4">
        <w:rPr>
          <w:sz w:val="24"/>
        </w:rPr>
        <w:t xml:space="preserve"> the Chair of the</w:t>
      </w:r>
      <w:r>
        <w:rPr>
          <w:sz w:val="24"/>
        </w:rPr>
        <w:t xml:space="preserve"> Environment Directors to highlight the importance of the joint communications work in achieving the </w:t>
      </w:r>
      <w:r w:rsidR="00C6713B">
        <w:rPr>
          <w:sz w:val="24"/>
        </w:rPr>
        <w:t>Borough</w:t>
      </w:r>
      <w:r>
        <w:rPr>
          <w:sz w:val="24"/>
        </w:rPr>
        <w:t xml:space="preserve"> objectives</w:t>
      </w:r>
      <w:r w:rsidR="00B079C4">
        <w:rPr>
          <w:sz w:val="24"/>
        </w:rPr>
        <w:t xml:space="preserve"> </w:t>
      </w:r>
      <w:r w:rsidR="00B661D9">
        <w:rPr>
          <w:sz w:val="24"/>
        </w:rPr>
        <w:t>including</w:t>
      </w:r>
      <w:r w:rsidR="00C6713B">
        <w:rPr>
          <w:sz w:val="24"/>
        </w:rPr>
        <w:t xml:space="preserve"> </w:t>
      </w:r>
      <w:r w:rsidR="00B661D9">
        <w:rPr>
          <w:sz w:val="24"/>
        </w:rPr>
        <w:t>f</w:t>
      </w:r>
      <w:r w:rsidR="00B079C4">
        <w:rPr>
          <w:sz w:val="24"/>
        </w:rPr>
        <w:t>ood waste</w:t>
      </w:r>
      <w:r w:rsidR="00C6713B">
        <w:rPr>
          <w:sz w:val="24"/>
        </w:rPr>
        <w:t xml:space="preserve"> diversion and behaviour change.</w:t>
      </w:r>
      <w:r w:rsidR="00B661D9">
        <w:rPr>
          <w:sz w:val="24"/>
        </w:rPr>
        <w:t xml:space="preserve"> </w:t>
      </w:r>
      <w:r w:rsidR="00C6713B">
        <w:rPr>
          <w:sz w:val="24"/>
        </w:rPr>
        <w:t>A</w:t>
      </w:r>
      <w:r w:rsidR="00B079C4">
        <w:rPr>
          <w:sz w:val="24"/>
        </w:rPr>
        <w:t xml:space="preserve"> follow up meeting</w:t>
      </w:r>
      <w:r w:rsidR="00B661D9">
        <w:rPr>
          <w:sz w:val="24"/>
        </w:rPr>
        <w:t xml:space="preserve"> with the Chair of the Environment Directors </w:t>
      </w:r>
      <w:r w:rsidR="00C6713B">
        <w:rPr>
          <w:sz w:val="24"/>
        </w:rPr>
        <w:t xml:space="preserve">and the joint communications group </w:t>
      </w:r>
      <w:r w:rsidR="00B661D9">
        <w:rPr>
          <w:sz w:val="24"/>
        </w:rPr>
        <w:t>is being arranged</w:t>
      </w:r>
      <w:r w:rsidR="00C6713B">
        <w:rPr>
          <w:sz w:val="24"/>
        </w:rPr>
        <w:t xml:space="preserve"> to maintain alignment and development</w:t>
      </w:r>
      <w:r w:rsidR="00B661D9">
        <w:rPr>
          <w:sz w:val="24"/>
        </w:rPr>
        <w:t>. In addition to WLWA boroughs, r</w:t>
      </w:r>
      <w:r>
        <w:rPr>
          <w:sz w:val="24"/>
        </w:rPr>
        <w:t>epresentatives from Hammersmith and Fulham and Barnet were also in attendance covering Borough priorities and collaborative working opportunities and resources.</w:t>
      </w:r>
    </w:p>
    <w:p w14:paraId="102A41DD" w14:textId="6640071C" w:rsidR="00ED1DD8" w:rsidRPr="00D74887" w:rsidRDefault="00ED1DD8" w:rsidP="00D74887">
      <w:pPr>
        <w:pStyle w:val="ListParagraph"/>
        <w:tabs>
          <w:tab w:val="left" w:pos="507"/>
        </w:tabs>
        <w:spacing w:before="93"/>
        <w:ind w:left="360" w:right="222" w:firstLine="0"/>
        <w:rPr>
          <w:sz w:val="24"/>
        </w:rPr>
      </w:pPr>
      <w:r w:rsidRPr="00D74887">
        <w:rPr>
          <w:sz w:val="24"/>
        </w:rPr>
        <w:t xml:space="preserve">This forum will continue to promote the current partnerships and successes such as the Lets Go Southall Bikes repair and reuse, Petit </w:t>
      </w:r>
      <w:r w:rsidR="00DB455F" w:rsidRPr="00D74887">
        <w:rPr>
          <w:sz w:val="24"/>
        </w:rPr>
        <w:t>M</w:t>
      </w:r>
      <w:r w:rsidRPr="00D74887">
        <w:rPr>
          <w:sz w:val="24"/>
        </w:rPr>
        <w:t xml:space="preserve">iracles furniture reuse and up cycling and the electrical repair and reuse services through the fixing factory. </w:t>
      </w:r>
    </w:p>
    <w:p w14:paraId="1BCCBFD3" w14:textId="77777777" w:rsidR="001B72B7" w:rsidRPr="00405477" w:rsidRDefault="00053B29" w:rsidP="003828A1">
      <w:pPr>
        <w:pStyle w:val="ListParagraph"/>
        <w:numPr>
          <w:ilvl w:val="0"/>
          <w:numId w:val="4"/>
        </w:numPr>
        <w:tabs>
          <w:tab w:val="left" w:pos="507"/>
        </w:tabs>
        <w:spacing w:before="121"/>
        <w:ind w:right="222" w:hanging="171"/>
        <w:rPr>
          <w:sz w:val="24"/>
          <w:szCs w:val="24"/>
        </w:rPr>
      </w:pPr>
      <w:r w:rsidRPr="00405477">
        <w:rPr>
          <w:b/>
          <w:sz w:val="24"/>
        </w:rPr>
        <w:t>Risk</w:t>
      </w:r>
    </w:p>
    <w:p w14:paraId="0FA8DBCC" w14:textId="6B2D46A1" w:rsidR="001B72B7" w:rsidRDefault="006038A6" w:rsidP="006038A6">
      <w:pPr>
        <w:pStyle w:val="ListParagraph"/>
        <w:tabs>
          <w:tab w:val="left" w:pos="507"/>
        </w:tabs>
        <w:spacing w:before="121"/>
        <w:ind w:left="360" w:right="222" w:firstLine="0"/>
        <w:rPr>
          <w:sz w:val="24"/>
          <w:szCs w:val="24"/>
        </w:rPr>
      </w:pPr>
      <w:r>
        <w:rPr>
          <w:sz w:val="24"/>
          <w:szCs w:val="24"/>
        </w:rPr>
        <w:t>Programme risks include the c</w:t>
      </w:r>
      <w:r w:rsidR="0024303D" w:rsidRPr="00E15FB4">
        <w:rPr>
          <w:sz w:val="24"/>
          <w:szCs w:val="24"/>
        </w:rPr>
        <w:t xml:space="preserve">ontinuing </w:t>
      </w:r>
      <w:r w:rsidR="00AB2437" w:rsidRPr="00E15FB4">
        <w:rPr>
          <w:sz w:val="24"/>
          <w:szCs w:val="24"/>
        </w:rPr>
        <w:t>loss of material from the existing recycling and diversion systems</w:t>
      </w:r>
      <w:r>
        <w:rPr>
          <w:sz w:val="24"/>
          <w:szCs w:val="24"/>
        </w:rPr>
        <w:t xml:space="preserve"> which will</w:t>
      </w:r>
      <w:r w:rsidR="00AB2437" w:rsidRPr="00E15FB4">
        <w:rPr>
          <w:sz w:val="24"/>
          <w:szCs w:val="24"/>
        </w:rPr>
        <w:t xml:space="preserve"> </w:t>
      </w:r>
      <w:r>
        <w:rPr>
          <w:sz w:val="24"/>
          <w:szCs w:val="24"/>
        </w:rPr>
        <w:t>result in</w:t>
      </w:r>
      <w:r w:rsidRPr="00E15FB4">
        <w:rPr>
          <w:sz w:val="24"/>
          <w:szCs w:val="24"/>
        </w:rPr>
        <w:t xml:space="preserve"> </w:t>
      </w:r>
      <w:r w:rsidR="00AB2437" w:rsidRPr="00E15FB4">
        <w:rPr>
          <w:sz w:val="24"/>
          <w:szCs w:val="24"/>
        </w:rPr>
        <w:t>high ongoing disposal cost and will not meet recycling or carbon targets</w:t>
      </w:r>
      <w:r w:rsidR="0024303D" w:rsidRPr="00E15FB4">
        <w:rPr>
          <w:sz w:val="24"/>
          <w:szCs w:val="24"/>
        </w:rPr>
        <w:t>.</w:t>
      </w:r>
      <w:r w:rsidR="00E15FB4">
        <w:rPr>
          <w:sz w:val="24"/>
          <w:szCs w:val="24"/>
        </w:rPr>
        <w:t xml:space="preserve"> Further risks include effective integration with other programmes and projects, which will be managed through regular reporting and the governance process.</w:t>
      </w:r>
    </w:p>
    <w:p w14:paraId="4BC764A4" w14:textId="5D3D41B5" w:rsidR="00E15FB4" w:rsidRDefault="00E15FB4" w:rsidP="006038A6">
      <w:pPr>
        <w:pStyle w:val="ListParagraph"/>
        <w:tabs>
          <w:tab w:val="left" w:pos="507"/>
        </w:tabs>
        <w:spacing w:before="121"/>
        <w:ind w:left="360" w:right="222" w:firstLine="0"/>
        <w:rPr>
          <w:sz w:val="24"/>
          <w:szCs w:val="24"/>
        </w:rPr>
      </w:pPr>
      <w:r>
        <w:rPr>
          <w:sz w:val="24"/>
          <w:szCs w:val="24"/>
        </w:rPr>
        <w:t>The impact of communications on the system relies on change delivered by residents and there could be a lag in the time between intervention and behaviour change. This will be monitored through effective data monitoring and measurement.</w:t>
      </w:r>
    </w:p>
    <w:p w14:paraId="00D4E14E" w14:textId="40C52B34" w:rsidR="00FC3414" w:rsidRPr="00FC3414" w:rsidRDefault="00FC3414" w:rsidP="00FC3414">
      <w:pPr>
        <w:pStyle w:val="ListParagraph"/>
        <w:tabs>
          <w:tab w:val="left" w:pos="507"/>
        </w:tabs>
        <w:ind w:left="426" w:right="220" w:firstLine="0"/>
        <w:rPr>
          <w:sz w:val="24"/>
        </w:rPr>
      </w:pPr>
      <w:bookmarkStart w:id="0" w:name="_GoBack"/>
      <w:bookmarkEnd w:id="0"/>
    </w:p>
    <w:p w14:paraId="47DFEDF9" w14:textId="0ABFF2DE" w:rsidR="006368AB" w:rsidRPr="006368AB" w:rsidRDefault="00053B29" w:rsidP="006368AB">
      <w:pPr>
        <w:pStyle w:val="ListParagraph"/>
        <w:numPr>
          <w:ilvl w:val="0"/>
          <w:numId w:val="4"/>
        </w:numPr>
        <w:tabs>
          <w:tab w:val="left" w:pos="507"/>
        </w:tabs>
        <w:ind w:left="426" w:right="220" w:hanging="218"/>
        <w:rPr>
          <w:sz w:val="24"/>
        </w:rPr>
      </w:pPr>
      <w:r w:rsidRPr="00405477">
        <w:rPr>
          <w:b/>
          <w:sz w:val="24"/>
        </w:rPr>
        <w:lastRenderedPageBreak/>
        <w:t>Financial Implications</w:t>
      </w:r>
    </w:p>
    <w:p w14:paraId="53F1CAFD" w14:textId="7F24C081" w:rsidR="006368AB" w:rsidRPr="006368AB" w:rsidRDefault="00D57F87" w:rsidP="006368AB">
      <w:pPr>
        <w:pStyle w:val="ListParagraph"/>
        <w:tabs>
          <w:tab w:val="left" w:pos="507"/>
        </w:tabs>
        <w:ind w:left="426" w:right="220" w:firstLine="0"/>
        <w:rPr>
          <w:bCs/>
          <w:sz w:val="24"/>
        </w:rPr>
      </w:pPr>
      <w:r>
        <w:rPr>
          <w:bCs/>
          <w:sz w:val="24"/>
        </w:rPr>
        <w:t>The expected s</w:t>
      </w:r>
      <w:r w:rsidR="008339FF">
        <w:rPr>
          <w:bCs/>
          <w:sz w:val="24"/>
        </w:rPr>
        <w:t>avings for</w:t>
      </w:r>
      <w:r w:rsidR="00C6713B">
        <w:rPr>
          <w:bCs/>
          <w:sz w:val="24"/>
        </w:rPr>
        <w:t xml:space="preserve"> the programme in</w:t>
      </w:r>
      <w:r w:rsidR="008339FF">
        <w:rPr>
          <w:bCs/>
          <w:sz w:val="24"/>
        </w:rPr>
        <w:t xml:space="preserve"> year </w:t>
      </w:r>
      <w:r>
        <w:rPr>
          <w:bCs/>
          <w:sz w:val="24"/>
        </w:rPr>
        <w:t>one is c.£200k</w:t>
      </w:r>
      <w:r w:rsidR="00D74887">
        <w:rPr>
          <w:bCs/>
          <w:sz w:val="24"/>
        </w:rPr>
        <w:t>. This will be achieved through greater understanding of the current systems and services provided. These include a reduction in contamination of dry mixed recycling, more efficient use of new services such as bulky waste collections and</w:t>
      </w:r>
      <w:r w:rsidR="00925186">
        <w:rPr>
          <w:bCs/>
          <w:sz w:val="24"/>
        </w:rPr>
        <w:t xml:space="preserve"> through a reduction in residual waste as material is captured in the correct stream</w:t>
      </w:r>
      <w:r w:rsidR="00D74887">
        <w:rPr>
          <w:bCs/>
          <w:sz w:val="24"/>
        </w:rPr>
        <w:t>, for example food waste</w:t>
      </w:r>
      <w:r>
        <w:rPr>
          <w:bCs/>
          <w:sz w:val="24"/>
        </w:rPr>
        <w:t>.</w:t>
      </w:r>
      <w:r w:rsidR="00C6713B">
        <w:rPr>
          <w:bCs/>
          <w:sz w:val="24"/>
        </w:rPr>
        <w:t xml:space="preserve"> </w:t>
      </w:r>
    </w:p>
    <w:p w14:paraId="27673CB2" w14:textId="16D716B6" w:rsidR="00AB2437" w:rsidRPr="006368AB" w:rsidRDefault="00AB2437" w:rsidP="006368AB">
      <w:pPr>
        <w:pStyle w:val="ListParagraph"/>
        <w:tabs>
          <w:tab w:val="left" w:pos="507"/>
        </w:tabs>
        <w:ind w:left="426" w:right="220" w:firstLine="0"/>
        <w:rPr>
          <w:bCs/>
          <w:sz w:val="24"/>
        </w:rPr>
      </w:pPr>
      <w:r w:rsidRPr="006368AB">
        <w:rPr>
          <w:bCs/>
          <w:sz w:val="24"/>
        </w:rPr>
        <w:t>The materials in the residual waste account for the following</w:t>
      </w:r>
      <w:r w:rsidR="00963C13" w:rsidRPr="006368AB">
        <w:rPr>
          <w:bCs/>
          <w:sz w:val="24"/>
        </w:rPr>
        <w:t xml:space="preserve"> </w:t>
      </w:r>
      <w:r w:rsidR="00D57F87">
        <w:rPr>
          <w:bCs/>
          <w:sz w:val="24"/>
        </w:rPr>
        <w:t xml:space="preserve">net cost of </w:t>
      </w:r>
      <w:r w:rsidR="00963C13" w:rsidRPr="006368AB">
        <w:rPr>
          <w:bCs/>
          <w:sz w:val="24"/>
        </w:rPr>
        <w:t>disposal</w:t>
      </w:r>
      <w:r w:rsidRPr="006368AB">
        <w:rPr>
          <w:bCs/>
          <w:sz w:val="24"/>
        </w:rPr>
        <w:t xml:space="preserve"> based on the difference between</w:t>
      </w:r>
      <w:r w:rsidR="00963C13" w:rsidRPr="006368AB">
        <w:rPr>
          <w:bCs/>
          <w:sz w:val="24"/>
        </w:rPr>
        <w:t xml:space="preserve"> available</w:t>
      </w:r>
      <w:r w:rsidRPr="006368AB">
        <w:rPr>
          <w:bCs/>
          <w:sz w:val="24"/>
        </w:rPr>
        <w:t xml:space="preserve"> treatment routes.</w:t>
      </w:r>
    </w:p>
    <w:p w14:paraId="268B1732" w14:textId="77777777" w:rsidR="00AB2437" w:rsidRPr="00437A5A" w:rsidRDefault="00AB2437" w:rsidP="00437A5A">
      <w:pPr>
        <w:tabs>
          <w:tab w:val="left" w:pos="507"/>
        </w:tabs>
        <w:ind w:right="220"/>
        <w:rPr>
          <w:bCs/>
          <w:sz w:val="24"/>
        </w:rPr>
      </w:pPr>
    </w:p>
    <w:tbl>
      <w:tblPr>
        <w:tblStyle w:val="TableGrid"/>
        <w:tblW w:w="0" w:type="auto"/>
        <w:jc w:val="center"/>
        <w:tblLook w:val="04A0" w:firstRow="1" w:lastRow="0" w:firstColumn="1" w:lastColumn="0" w:noHBand="0" w:noVBand="1"/>
      </w:tblPr>
      <w:tblGrid>
        <w:gridCol w:w="1344"/>
        <w:gridCol w:w="3329"/>
      </w:tblGrid>
      <w:tr w:rsidR="00AB2437" w:rsidRPr="00B80F42" w14:paraId="2E02A1A1" w14:textId="77777777" w:rsidTr="00D57F87">
        <w:trPr>
          <w:trHeight w:val="393"/>
          <w:jc w:val="center"/>
        </w:trPr>
        <w:tc>
          <w:tcPr>
            <w:tcW w:w="1344" w:type="dxa"/>
          </w:tcPr>
          <w:p w14:paraId="7745BEA1" w14:textId="47E83BF0" w:rsidR="00AB2437" w:rsidRPr="00B80F42" w:rsidRDefault="00AB2437" w:rsidP="00AB2437">
            <w:pPr>
              <w:pStyle w:val="ListParagraph"/>
              <w:tabs>
                <w:tab w:val="left" w:pos="507"/>
              </w:tabs>
              <w:ind w:left="0" w:right="220" w:firstLine="0"/>
              <w:rPr>
                <w:b/>
                <w:sz w:val="24"/>
              </w:rPr>
            </w:pPr>
            <w:r w:rsidRPr="00B80F42">
              <w:rPr>
                <w:b/>
                <w:sz w:val="24"/>
              </w:rPr>
              <w:t>Material</w:t>
            </w:r>
          </w:p>
        </w:tc>
        <w:tc>
          <w:tcPr>
            <w:tcW w:w="3329" w:type="dxa"/>
          </w:tcPr>
          <w:p w14:paraId="49AF1588" w14:textId="5B1E9FFC" w:rsidR="00AB2437" w:rsidRPr="00B80F42" w:rsidRDefault="008339FF" w:rsidP="00B80F42">
            <w:pPr>
              <w:pStyle w:val="ListParagraph"/>
              <w:tabs>
                <w:tab w:val="left" w:pos="507"/>
              </w:tabs>
              <w:ind w:left="0" w:right="220" w:firstLine="0"/>
              <w:jc w:val="center"/>
              <w:rPr>
                <w:b/>
                <w:sz w:val="24"/>
              </w:rPr>
            </w:pPr>
            <w:r>
              <w:rPr>
                <w:b/>
                <w:sz w:val="24"/>
              </w:rPr>
              <w:t xml:space="preserve">Potential </w:t>
            </w:r>
            <w:r w:rsidR="00AB2437" w:rsidRPr="00B80F42">
              <w:rPr>
                <w:b/>
                <w:sz w:val="24"/>
              </w:rPr>
              <w:t>Net saving (£</w:t>
            </w:r>
            <w:r w:rsidR="00B80F42" w:rsidRPr="00B80F42">
              <w:rPr>
                <w:b/>
                <w:sz w:val="24"/>
              </w:rPr>
              <w:t>k</w:t>
            </w:r>
            <w:r w:rsidR="00AB2437" w:rsidRPr="00B80F42">
              <w:rPr>
                <w:b/>
                <w:sz w:val="24"/>
              </w:rPr>
              <w:t>)</w:t>
            </w:r>
          </w:p>
        </w:tc>
      </w:tr>
      <w:tr w:rsidR="00AB2437" w14:paraId="4A8F41F9" w14:textId="77777777" w:rsidTr="00D57F87">
        <w:trPr>
          <w:trHeight w:val="393"/>
          <w:jc w:val="center"/>
        </w:trPr>
        <w:tc>
          <w:tcPr>
            <w:tcW w:w="1344" w:type="dxa"/>
          </w:tcPr>
          <w:p w14:paraId="35FF5A68" w14:textId="05055A94" w:rsidR="00AB2437" w:rsidRDefault="00AB2437" w:rsidP="00AB2437">
            <w:pPr>
              <w:pStyle w:val="ListParagraph"/>
              <w:tabs>
                <w:tab w:val="left" w:pos="507"/>
              </w:tabs>
              <w:ind w:left="0" w:right="220" w:firstLine="0"/>
              <w:rPr>
                <w:bCs/>
                <w:sz w:val="24"/>
              </w:rPr>
            </w:pPr>
            <w:r>
              <w:rPr>
                <w:bCs/>
                <w:sz w:val="24"/>
              </w:rPr>
              <w:t>Food</w:t>
            </w:r>
          </w:p>
        </w:tc>
        <w:tc>
          <w:tcPr>
            <w:tcW w:w="3329" w:type="dxa"/>
          </w:tcPr>
          <w:p w14:paraId="203C151C" w14:textId="2AAA6E1D" w:rsidR="00AB2437" w:rsidRDefault="00B80F42" w:rsidP="00B80F42">
            <w:pPr>
              <w:pStyle w:val="ListParagraph"/>
              <w:tabs>
                <w:tab w:val="left" w:pos="507"/>
              </w:tabs>
              <w:ind w:left="0" w:right="220" w:firstLine="0"/>
              <w:jc w:val="center"/>
              <w:rPr>
                <w:bCs/>
                <w:sz w:val="24"/>
              </w:rPr>
            </w:pPr>
            <w:r>
              <w:rPr>
                <w:bCs/>
                <w:sz w:val="24"/>
              </w:rPr>
              <w:t>13,500</w:t>
            </w:r>
          </w:p>
        </w:tc>
      </w:tr>
      <w:tr w:rsidR="00AB2437" w14:paraId="0E1526FB" w14:textId="77777777" w:rsidTr="00D57F87">
        <w:trPr>
          <w:trHeight w:val="393"/>
          <w:jc w:val="center"/>
        </w:trPr>
        <w:tc>
          <w:tcPr>
            <w:tcW w:w="1344" w:type="dxa"/>
          </w:tcPr>
          <w:p w14:paraId="74E2C9D7" w14:textId="20DD9994" w:rsidR="00AB2437" w:rsidRDefault="00AB2437" w:rsidP="00AB2437">
            <w:pPr>
              <w:pStyle w:val="ListParagraph"/>
              <w:tabs>
                <w:tab w:val="left" w:pos="507"/>
              </w:tabs>
              <w:ind w:left="0" w:right="220" w:firstLine="0"/>
              <w:rPr>
                <w:bCs/>
                <w:sz w:val="24"/>
              </w:rPr>
            </w:pPr>
            <w:r>
              <w:rPr>
                <w:bCs/>
                <w:sz w:val="24"/>
              </w:rPr>
              <w:t>DMR</w:t>
            </w:r>
          </w:p>
        </w:tc>
        <w:tc>
          <w:tcPr>
            <w:tcW w:w="3329" w:type="dxa"/>
          </w:tcPr>
          <w:p w14:paraId="3B663BE2" w14:textId="725EEE2C" w:rsidR="00B80F42" w:rsidRDefault="00B80F42" w:rsidP="00B80F42">
            <w:pPr>
              <w:pStyle w:val="ListParagraph"/>
              <w:tabs>
                <w:tab w:val="left" w:pos="507"/>
              </w:tabs>
              <w:ind w:left="0" w:right="220" w:firstLine="0"/>
              <w:jc w:val="center"/>
              <w:rPr>
                <w:bCs/>
                <w:sz w:val="24"/>
              </w:rPr>
            </w:pPr>
            <w:r>
              <w:rPr>
                <w:bCs/>
                <w:sz w:val="24"/>
              </w:rPr>
              <w:t>3,600</w:t>
            </w:r>
          </w:p>
        </w:tc>
      </w:tr>
      <w:tr w:rsidR="00AB2437" w14:paraId="361FF21A" w14:textId="77777777" w:rsidTr="00D57F87">
        <w:trPr>
          <w:trHeight w:val="393"/>
          <w:jc w:val="center"/>
        </w:trPr>
        <w:tc>
          <w:tcPr>
            <w:tcW w:w="1344" w:type="dxa"/>
          </w:tcPr>
          <w:p w14:paraId="5C85324A" w14:textId="4658A8B8" w:rsidR="00AB2437" w:rsidRDefault="00AB2437" w:rsidP="00AB2437">
            <w:pPr>
              <w:pStyle w:val="ListParagraph"/>
              <w:tabs>
                <w:tab w:val="left" w:pos="507"/>
              </w:tabs>
              <w:ind w:left="0" w:right="220" w:firstLine="0"/>
              <w:rPr>
                <w:bCs/>
                <w:sz w:val="24"/>
              </w:rPr>
            </w:pPr>
            <w:r>
              <w:rPr>
                <w:bCs/>
                <w:sz w:val="24"/>
              </w:rPr>
              <w:t>Garden</w:t>
            </w:r>
          </w:p>
        </w:tc>
        <w:tc>
          <w:tcPr>
            <w:tcW w:w="3329" w:type="dxa"/>
          </w:tcPr>
          <w:p w14:paraId="7CE7292E" w14:textId="05B46FD7" w:rsidR="00AB2437" w:rsidRDefault="00B80F42" w:rsidP="00B80F42">
            <w:pPr>
              <w:pStyle w:val="ListParagraph"/>
              <w:tabs>
                <w:tab w:val="left" w:pos="507"/>
              </w:tabs>
              <w:ind w:left="0" w:right="220" w:firstLine="0"/>
              <w:jc w:val="center"/>
              <w:rPr>
                <w:bCs/>
                <w:sz w:val="24"/>
              </w:rPr>
            </w:pPr>
            <w:r>
              <w:rPr>
                <w:bCs/>
                <w:sz w:val="24"/>
              </w:rPr>
              <w:t>1,800</w:t>
            </w:r>
          </w:p>
        </w:tc>
      </w:tr>
      <w:tr w:rsidR="00B80F42" w:rsidRPr="00B80F42" w14:paraId="522AF28B" w14:textId="77777777" w:rsidTr="00D57F87">
        <w:trPr>
          <w:trHeight w:val="393"/>
          <w:jc w:val="center"/>
        </w:trPr>
        <w:tc>
          <w:tcPr>
            <w:tcW w:w="1344" w:type="dxa"/>
          </w:tcPr>
          <w:p w14:paraId="5042BE29" w14:textId="5922E96C" w:rsidR="00B80F42" w:rsidRPr="00B80F42" w:rsidRDefault="00B80F42" w:rsidP="00AB2437">
            <w:pPr>
              <w:pStyle w:val="ListParagraph"/>
              <w:tabs>
                <w:tab w:val="left" w:pos="507"/>
              </w:tabs>
              <w:ind w:left="0" w:right="220" w:firstLine="0"/>
              <w:rPr>
                <w:b/>
                <w:sz w:val="24"/>
              </w:rPr>
            </w:pPr>
            <w:r w:rsidRPr="00B80F42">
              <w:rPr>
                <w:b/>
                <w:sz w:val="24"/>
              </w:rPr>
              <w:t>Total</w:t>
            </w:r>
          </w:p>
        </w:tc>
        <w:tc>
          <w:tcPr>
            <w:tcW w:w="3329" w:type="dxa"/>
          </w:tcPr>
          <w:p w14:paraId="2B8616F1" w14:textId="35EBD281" w:rsidR="00B80F42" w:rsidRPr="00B80F42" w:rsidRDefault="00B80F42" w:rsidP="00B80F42">
            <w:pPr>
              <w:pStyle w:val="ListParagraph"/>
              <w:tabs>
                <w:tab w:val="left" w:pos="507"/>
              </w:tabs>
              <w:ind w:left="0" w:right="220" w:firstLine="0"/>
              <w:jc w:val="center"/>
              <w:rPr>
                <w:b/>
                <w:sz w:val="24"/>
              </w:rPr>
            </w:pPr>
            <w:r w:rsidRPr="00B80F42">
              <w:rPr>
                <w:b/>
                <w:sz w:val="24"/>
              </w:rPr>
              <w:t>18,900</w:t>
            </w:r>
          </w:p>
        </w:tc>
      </w:tr>
    </w:tbl>
    <w:p w14:paraId="02F719D4" w14:textId="3FF9918E" w:rsidR="005A2E9C" w:rsidRDefault="005A2E9C" w:rsidP="00AB2437">
      <w:pPr>
        <w:pStyle w:val="ListParagraph"/>
        <w:tabs>
          <w:tab w:val="left" w:pos="507"/>
        </w:tabs>
        <w:ind w:left="426" w:right="220" w:firstLine="0"/>
        <w:rPr>
          <w:bCs/>
          <w:sz w:val="24"/>
        </w:rPr>
      </w:pPr>
      <w:r>
        <w:rPr>
          <w:bCs/>
          <w:sz w:val="24"/>
        </w:rPr>
        <w:t>As identified in the Finance update, any material moved into the correct collection system would be a direct benefit to the Boroughs through the lower volumes in the residual waste budget</w:t>
      </w:r>
      <w:r w:rsidR="00D74887">
        <w:rPr>
          <w:bCs/>
          <w:sz w:val="24"/>
        </w:rPr>
        <w:t>, up to 48%</w:t>
      </w:r>
      <w:r w:rsidR="007F7432">
        <w:rPr>
          <w:bCs/>
          <w:sz w:val="24"/>
        </w:rPr>
        <w:t xml:space="preserve"> of the </w:t>
      </w:r>
      <w:r>
        <w:rPr>
          <w:bCs/>
          <w:sz w:val="24"/>
        </w:rPr>
        <w:t>(c.£38.9M).</w:t>
      </w:r>
    </w:p>
    <w:p w14:paraId="48EC9349" w14:textId="3841C2DD" w:rsidR="00AB2437" w:rsidRPr="00AB2437" w:rsidRDefault="00437A5A" w:rsidP="00AB2437">
      <w:pPr>
        <w:pStyle w:val="ListParagraph"/>
        <w:tabs>
          <w:tab w:val="left" w:pos="507"/>
        </w:tabs>
        <w:ind w:left="426" w:right="220" w:firstLine="0"/>
        <w:rPr>
          <w:bCs/>
          <w:sz w:val="24"/>
        </w:rPr>
      </w:pPr>
      <w:r>
        <w:rPr>
          <w:bCs/>
          <w:sz w:val="24"/>
        </w:rPr>
        <w:t>Further savings and risk mitigation can be achieved through the reduction of waste electricals in the waste streams</w:t>
      </w:r>
      <w:r w:rsidR="00925186">
        <w:rPr>
          <w:bCs/>
          <w:sz w:val="24"/>
        </w:rPr>
        <w:t>. Waste electricals in residual or recycling can cause fires at our or contractors sites. A recent fire believed to be due to a battery from waste electricals recently cost a contractor c.</w:t>
      </w:r>
      <w:r>
        <w:rPr>
          <w:bCs/>
          <w:sz w:val="24"/>
        </w:rPr>
        <w:t>£1M</w:t>
      </w:r>
      <w:r w:rsidR="00925186">
        <w:rPr>
          <w:bCs/>
          <w:sz w:val="24"/>
        </w:rPr>
        <w:t xml:space="preserve"> worth of damage</w:t>
      </w:r>
      <w:r>
        <w:rPr>
          <w:bCs/>
          <w:sz w:val="24"/>
        </w:rPr>
        <w:t>.</w:t>
      </w:r>
      <w:r w:rsidR="00925186">
        <w:rPr>
          <w:bCs/>
          <w:sz w:val="24"/>
        </w:rPr>
        <w:t xml:space="preserve"> These events impact on our services as well as indirect consequences through industry changes in insurance operating procedures. WLWA are best placed to help minimise waste electricals in the incorrect streams through effective communications and joint working with Boroughs.</w:t>
      </w:r>
    </w:p>
    <w:p w14:paraId="39557AAA" w14:textId="69FBEFFC" w:rsidR="008B7F69" w:rsidRDefault="00053B29" w:rsidP="004B30C6">
      <w:pPr>
        <w:pStyle w:val="ListParagraph"/>
        <w:numPr>
          <w:ilvl w:val="0"/>
          <w:numId w:val="4"/>
        </w:numPr>
        <w:tabs>
          <w:tab w:val="left" w:pos="507"/>
        </w:tabs>
        <w:spacing w:before="121"/>
        <w:ind w:left="426" w:right="224" w:hanging="284"/>
        <w:rPr>
          <w:sz w:val="24"/>
        </w:rPr>
      </w:pPr>
      <w:r w:rsidRPr="00405477">
        <w:rPr>
          <w:b/>
          <w:sz w:val="24"/>
        </w:rPr>
        <w:t>Staffing Implications</w:t>
      </w:r>
      <w:r w:rsidRPr="00405477">
        <w:rPr>
          <w:sz w:val="24"/>
        </w:rPr>
        <w:t xml:space="preserve"> –</w:t>
      </w:r>
      <w:r w:rsidRPr="00405477">
        <w:rPr>
          <w:b/>
          <w:sz w:val="24"/>
        </w:rPr>
        <w:t xml:space="preserve"> </w:t>
      </w:r>
      <w:r w:rsidR="00437A5A">
        <w:rPr>
          <w:bCs/>
          <w:sz w:val="24"/>
        </w:rPr>
        <w:t>The Projects and Circular Economy team is restructuring to deliver the required governance and oversight of the programmes.</w:t>
      </w:r>
    </w:p>
    <w:p w14:paraId="6CF1F16B" w14:textId="15A6FB29" w:rsidR="0041713B" w:rsidRPr="008B7F69" w:rsidRDefault="00053B29" w:rsidP="00963C13">
      <w:pPr>
        <w:pStyle w:val="ListParagraph"/>
        <w:numPr>
          <w:ilvl w:val="0"/>
          <w:numId w:val="4"/>
        </w:numPr>
        <w:tabs>
          <w:tab w:val="left" w:pos="507"/>
        </w:tabs>
        <w:spacing w:before="121"/>
        <w:ind w:left="426" w:right="224" w:hanging="284"/>
        <w:rPr>
          <w:sz w:val="24"/>
        </w:rPr>
      </w:pPr>
      <w:r w:rsidRPr="002609F8">
        <w:rPr>
          <w:b/>
          <w:sz w:val="24"/>
        </w:rPr>
        <w:t xml:space="preserve">Health and Safety Implications </w:t>
      </w:r>
      <w:r w:rsidRPr="002609F8">
        <w:rPr>
          <w:sz w:val="24"/>
        </w:rPr>
        <w:t>–</w:t>
      </w:r>
      <w:r w:rsidR="00963C13">
        <w:rPr>
          <w:sz w:val="24"/>
        </w:rPr>
        <w:t xml:space="preserve"> </w:t>
      </w:r>
      <w:r w:rsidR="00437A5A">
        <w:rPr>
          <w:sz w:val="24"/>
        </w:rPr>
        <w:t>None</w:t>
      </w:r>
    </w:p>
    <w:p w14:paraId="131556A5" w14:textId="260D751C" w:rsidR="000E0376" w:rsidRPr="00AB0D40" w:rsidRDefault="00053B29" w:rsidP="00AB0D40">
      <w:pPr>
        <w:pStyle w:val="ListParagraph"/>
        <w:numPr>
          <w:ilvl w:val="0"/>
          <w:numId w:val="4"/>
        </w:numPr>
        <w:tabs>
          <w:tab w:val="left" w:pos="507"/>
        </w:tabs>
        <w:spacing w:before="121"/>
        <w:ind w:left="506" w:hanging="361"/>
        <w:rPr>
          <w:sz w:val="24"/>
        </w:rPr>
      </w:pPr>
      <w:r w:rsidRPr="002609F8">
        <w:rPr>
          <w:b/>
          <w:sz w:val="24"/>
        </w:rPr>
        <w:t>Legal</w:t>
      </w:r>
      <w:r w:rsidRPr="002609F8">
        <w:rPr>
          <w:b/>
          <w:spacing w:val="-1"/>
          <w:sz w:val="24"/>
        </w:rPr>
        <w:t xml:space="preserve"> </w:t>
      </w:r>
      <w:r w:rsidRPr="002609F8">
        <w:rPr>
          <w:b/>
          <w:sz w:val="24"/>
        </w:rPr>
        <w:t>Implications</w:t>
      </w:r>
      <w:r w:rsidRPr="002609F8">
        <w:rPr>
          <w:b/>
          <w:spacing w:val="2"/>
          <w:sz w:val="24"/>
        </w:rPr>
        <w:t xml:space="preserve"> </w:t>
      </w:r>
      <w:r w:rsidR="000E0376">
        <w:rPr>
          <w:b/>
          <w:sz w:val="24"/>
        </w:rPr>
        <w:t>–</w:t>
      </w:r>
      <w:r w:rsidRPr="002609F8">
        <w:rPr>
          <w:b/>
          <w:spacing w:val="-4"/>
          <w:sz w:val="24"/>
        </w:rPr>
        <w:t xml:space="preserve"> </w:t>
      </w:r>
      <w:r w:rsidR="00963C13">
        <w:rPr>
          <w:sz w:val="24"/>
        </w:rPr>
        <w:t>N</w:t>
      </w:r>
      <w:r w:rsidRPr="002609F8">
        <w:rPr>
          <w:sz w:val="24"/>
        </w:rPr>
        <w:t>one</w:t>
      </w:r>
    </w:p>
    <w:p w14:paraId="7E0AD81E" w14:textId="4A86EE6F" w:rsidR="007F7432" w:rsidRPr="00067A9E" w:rsidRDefault="007F7432">
      <w:pPr>
        <w:pStyle w:val="ListParagraph"/>
        <w:numPr>
          <w:ilvl w:val="0"/>
          <w:numId w:val="4"/>
        </w:numPr>
        <w:tabs>
          <w:tab w:val="left" w:pos="507"/>
        </w:tabs>
        <w:ind w:left="506" w:hanging="361"/>
        <w:rPr>
          <w:sz w:val="24"/>
        </w:rPr>
      </w:pPr>
      <w:r>
        <w:rPr>
          <w:b/>
          <w:sz w:val="24"/>
        </w:rPr>
        <w:t xml:space="preserve">Implications for the Environment Directors </w:t>
      </w:r>
    </w:p>
    <w:p w14:paraId="523410B7" w14:textId="32722B60" w:rsidR="00067A9E" w:rsidRPr="00D27207" w:rsidRDefault="00067A9E" w:rsidP="00067A9E">
      <w:pPr>
        <w:pStyle w:val="ListParagraph"/>
        <w:tabs>
          <w:tab w:val="left" w:pos="507"/>
        </w:tabs>
        <w:ind w:left="506" w:firstLine="0"/>
        <w:rPr>
          <w:sz w:val="24"/>
        </w:rPr>
      </w:pPr>
      <w:r w:rsidRPr="00D27207">
        <w:rPr>
          <w:sz w:val="24"/>
        </w:rPr>
        <w:t xml:space="preserve">The communications programme is </w:t>
      </w:r>
      <w:r>
        <w:rPr>
          <w:sz w:val="24"/>
        </w:rPr>
        <w:t>a key element in delivering</w:t>
      </w:r>
      <w:r w:rsidRPr="00D27207">
        <w:rPr>
          <w:sz w:val="24"/>
        </w:rPr>
        <w:t xml:space="preserve"> the Environment Directors priorities in the next two year</w:t>
      </w:r>
      <w:r>
        <w:rPr>
          <w:sz w:val="24"/>
        </w:rPr>
        <w:t>s</w:t>
      </w:r>
      <w:r w:rsidRPr="00D27207">
        <w:rPr>
          <w:sz w:val="24"/>
        </w:rPr>
        <w:t>. The four priorities are shown below, supported by examples:</w:t>
      </w:r>
    </w:p>
    <w:p w14:paraId="2FDF2E9F" w14:textId="4B836C22" w:rsidR="00D27207" w:rsidRPr="00067A9E" w:rsidRDefault="00067A9E" w:rsidP="00067A9E">
      <w:pPr>
        <w:pStyle w:val="ListParagraph"/>
        <w:tabs>
          <w:tab w:val="left" w:pos="507"/>
        </w:tabs>
        <w:spacing w:before="121"/>
        <w:ind w:left="360" w:right="224" w:firstLine="0"/>
        <w:rPr>
          <w:sz w:val="24"/>
        </w:rPr>
      </w:pPr>
      <w:r>
        <w:rPr>
          <w:noProof/>
          <w:sz w:val="24"/>
          <w:lang w:eastAsia="en-GB"/>
        </w:rPr>
        <w:drawing>
          <wp:inline distT="0" distB="0" distL="0" distR="0" wp14:anchorId="31005796" wp14:editId="454E868B">
            <wp:extent cx="6737230" cy="223799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2445" cy="2239726"/>
                    </a:xfrm>
                    <a:prstGeom prst="rect">
                      <a:avLst/>
                    </a:prstGeom>
                    <a:noFill/>
                  </pic:spPr>
                </pic:pic>
              </a:graphicData>
            </a:graphic>
          </wp:inline>
        </w:drawing>
      </w:r>
    </w:p>
    <w:p w14:paraId="5562CE08" w14:textId="47AA6F47" w:rsidR="00067A9E" w:rsidRPr="00067A9E" w:rsidRDefault="00067A9E" w:rsidP="00067A9E">
      <w:pPr>
        <w:pStyle w:val="ListParagraph"/>
        <w:tabs>
          <w:tab w:val="left" w:pos="507"/>
        </w:tabs>
        <w:ind w:left="506" w:firstLine="0"/>
        <w:rPr>
          <w:sz w:val="24"/>
        </w:rPr>
      </w:pPr>
      <w:r>
        <w:rPr>
          <w:sz w:val="24"/>
        </w:rPr>
        <w:t>Key areas include behaviour change, data gathering, resilience and skills, social value evaluation and future proofing the system.</w:t>
      </w:r>
    </w:p>
    <w:p w14:paraId="58299F1E" w14:textId="708C6746" w:rsidR="0082498B" w:rsidRPr="009E4459" w:rsidRDefault="00053B29">
      <w:pPr>
        <w:pStyle w:val="ListParagraph"/>
        <w:numPr>
          <w:ilvl w:val="0"/>
          <w:numId w:val="4"/>
        </w:numPr>
        <w:tabs>
          <w:tab w:val="left" w:pos="507"/>
        </w:tabs>
        <w:ind w:left="506" w:hanging="361"/>
        <w:rPr>
          <w:sz w:val="24"/>
        </w:rPr>
      </w:pPr>
      <w:r w:rsidRPr="009E4459">
        <w:rPr>
          <w:b/>
          <w:sz w:val="24"/>
        </w:rPr>
        <w:lastRenderedPageBreak/>
        <w:t>Joint</w:t>
      </w:r>
      <w:r w:rsidRPr="009E4459">
        <w:rPr>
          <w:b/>
          <w:spacing w:val="-2"/>
          <w:sz w:val="24"/>
        </w:rPr>
        <w:t xml:space="preserve"> </w:t>
      </w:r>
      <w:r w:rsidRPr="009E4459">
        <w:rPr>
          <w:b/>
          <w:sz w:val="24"/>
        </w:rPr>
        <w:t>Waste</w:t>
      </w:r>
      <w:r w:rsidRPr="009E4459">
        <w:rPr>
          <w:b/>
          <w:spacing w:val="-1"/>
          <w:sz w:val="24"/>
        </w:rPr>
        <w:t xml:space="preserve"> </w:t>
      </w:r>
      <w:r w:rsidRPr="009E4459">
        <w:rPr>
          <w:b/>
          <w:sz w:val="24"/>
        </w:rPr>
        <w:t>Management</w:t>
      </w:r>
      <w:r w:rsidRPr="009E4459">
        <w:rPr>
          <w:b/>
          <w:spacing w:val="-3"/>
          <w:sz w:val="24"/>
        </w:rPr>
        <w:t xml:space="preserve"> </w:t>
      </w:r>
      <w:r w:rsidRPr="009E4459">
        <w:rPr>
          <w:b/>
          <w:sz w:val="24"/>
        </w:rPr>
        <w:t>Strategy</w:t>
      </w:r>
    </w:p>
    <w:p w14:paraId="58CCFDA2" w14:textId="7142C6A7" w:rsidR="00D27207" w:rsidRDefault="00C2081D" w:rsidP="00D27207">
      <w:pPr>
        <w:pStyle w:val="ListParagraph"/>
        <w:tabs>
          <w:tab w:val="left" w:pos="507"/>
        </w:tabs>
        <w:ind w:left="426" w:right="220" w:firstLine="0"/>
        <w:rPr>
          <w:bCs/>
          <w:sz w:val="24"/>
        </w:rPr>
      </w:pPr>
      <w:r w:rsidRPr="00D27207">
        <w:rPr>
          <w:bCs/>
          <w:sz w:val="24"/>
        </w:rPr>
        <w:t xml:space="preserve">A key factor </w:t>
      </w:r>
      <w:r w:rsidR="00C6713B">
        <w:rPr>
          <w:bCs/>
          <w:sz w:val="24"/>
        </w:rPr>
        <w:t>i</w:t>
      </w:r>
      <w:r w:rsidRPr="00D27207">
        <w:rPr>
          <w:bCs/>
          <w:sz w:val="24"/>
        </w:rPr>
        <w:t>n the Joint Waste Management Strategy is the 65%</w:t>
      </w:r>
      <w:r w:rsidR="00C6713B">
        <w:rPr>
          <w:bCs/>
          <w:sz w:val="24"/>
        </w:rPr>
        <w:t xml:space="preserve"> recycling target.</w:t>
      </w:r>
      <w:r w:rsidRPr="00D27207">
        <w:rPr>
          <w:bCs/>
          <w:sz w:val="24"/>
        </w:rPr>
        <w:t xml:space="preserve"> </w:t>
      </w:r>
      <w:r w:rsidR="00C6713B">
        <w:rPr>
          <w:bCs/>
          <w:sz w:val="24"/>
        </w:rPr>
        <w:t>To meet this a</w:t>
      </w:r>
      <w:r w:rsidR="00D27207" w:rsidRPr="00D27207">
        <w:rPr>
          <w:bCs/>
          <w:sz w:val="24"/>
        </w:rPr>
        <w:t xml:space="preserve"> framework of a joint plan for 2030 to be developed by WLWA and Boroughs was agreed in March 2022.  The joint plan must incorporate managing the rising cost of inflation which can only be countered in WLWA by reducing the amount of waste collected.  </w:t>
      </w:r>
    </w:p>
    <w:p w14:paraId="1EDCBD4C" w14:textId="4B2B02DF" w:rsidR="00D27207" w:rsidRPr="00D27207" w:rsidRDefault="00D27207" w:rsidP="00D27207">
      <w:pPr>
        <w:pStyle w:val="ListParagraph"/>
        <w:tabs>
          <w:tab w:val="left" w:pos="507"/>
        </w:tabs>
        <w:ind w:left="426" w:right="220" w:firstLine="0"/>
        <w:rPr>
          <w:bCs/>
          <w:sz w:val="24"/>
        </w:rPr>
      </w:pPr>
      <w:r w:rsidRPr="00D27207">
        <w:rPr>
          <w:bCs/>
          <w:sz w:val="24"/>
        </w:rPr>
        <w:t>It is vital in this year that we</w:t>
      </w:r>
      <w:r>
        <w:rPr>
          <w:bCs/>
          <w:sz w:val="24"/>
        </w:rPr>
        <w:t>:</w:t>
      </w:r>
      <w:r w:rsidRPr="00D27207">
        <w:rPr>
          <w:bCs/>
          <w:sz w:val="24"/>
        </w:rPr>
        <w:t xml:space="preserve"> </w:t>
      </w:r>
    </w:p>
    <w:p w14:paraId="1556BC6B" w14:textId="77777777" w:rsidR="00D27207" w:rsidRPr="00D27207" w:rsidRDefault="00D27207" w:rsidP="00D27207">
      <w:pPr>
        <w:pStyle w:val="ListParagraph"/>
        <w:numPr>
          <w:ilvl w:val="0"/>
          <w:numId w:val="21"/>
        </w:numPr>
        <w:tabs>
          <w:tab w:val="left" w:pos="507"/>
        </w:tabs>
        <w:ind w:right="220"/>
        <w:rPr>
          <w:bCs/>
          <w:sz w:val="24"/>
        </w:rPr>
      </w:pPr>
      <w:r w:rsidRPr="00D27207">
        <w:rPr>
          <w:bCs/>
          <w:sz w:val="24"/>
        </w:rPr>
        <w:t>Increase the proportion of residents using the food waste service and</w:t>
      </w:r>
    </w:p>
    <w:p w14:paraId="3B870400" w14:textId="77777777" w:rsidR="00D27207" w:rsidRPr="00D27207" w:rsidRDefault="00D27207" w:rsidP="00D27207">
      <w:pPr>
        <w:pStyle w:val="ListParagraph"/>
        <w:numPr>
          <w:ilvl w:val="0"/>
          <w:numId w:val="21"/>
        </w:numPr>
        <w:tabs>
          <w:tab w:val="left" w:pos="507"/>
        </w:tabs>
        <w:ind w:right="220"/>
        <w:rPr>
          <w:bCs/>
          <w:sz w:val="24"/>
        </w:rPr>
      </w:pPr>
      <w:r w:rsidRPr="00D27207">
        <w:rPr>
          <w:bCs/>
          <w:sz w:val="24"/>
        </w:rPr>
        <w:t>Prevent waste at source in the recycling centres.</w:t>
      </w:r>
    </w:p>
    <w:p w14:paraId="45B15781" w14:textId="340BCB0B" w:rsidR="00D27207" w:rsidRDefault="00D27207" w:rsidP="00D27207">
      <w:pPr>
        <w:pStyle w:val="ListParagraph"/>
        <w:tabs>
          <w:tab w:val="left" w:pos="507"/>
        </w:tabs>
        <w:ind w:left="426" w:right="220" w:firstLine="0"/>
        <w:rPr>
          <w:bCs/>
          <w:sz w:val="24"/>
        </w:rPr>
      </w:pPr>
      <w:r w:rsidRPr="00D27207">
        <w:rPr>
          <w:bCs/>
          <w:sz w:val="24"/>
        </w:rPr>
        <w:t>The agreed framework is shown below:</w:t>
      </w:r>
    </w:p>
    <w:p w14:paraId="43792702" w14:textId="1A39054E" w:rsidR="00D27207" w:rsidRPr="00D27207" w:rsidRDefault="00D27207" w:rsidP="00067A9E">
      <w:pPr>
        <w:pStyle w:val="ListParagraph"/>
        <w:tabs>
          <w:tab w:val="left" w:pos="507"/>
        </w:tabs>
        <w:ind w:left="426" w:right="220" w:firstLine="0"/>
        <w:jc w:val="center"/>
        <w:rPr>
          <w:bCs/>
          <w:sz w:val="24"/>
        </w:rPr>
      </w:pPr>
      <w:r>
        <w:rPr>
          <w:b/>
          <w:noProof/>
          <w:szCs w:val="24"/>
          <w:lang w:eastAsia="en-GB"/>
        </w:rPr>
        <w:drawing>
          <wp:inline distT="0" distB="0" distL="0" distR="0" wp14:anchorId="188D2E12" wp14:editId="7B2D2CDF">
            <wp:extent cx="5719313" cy="3426498"/>
            <wp:effectExtent l="0" t="0" r="0" b="254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54" cy="3441021"/>
                    </a:xfrm>
                    <a:prstGeom prst="rect">
                      <a:avLst/>
                    </a:prstGeom>
                    <a:noFill/>
                  </pic:spPr>
                </pic:pic>
              </a:graphicData>
            </a:graphic>
          </wp:inline>
        </w:drawing>
      </w:r>
    </w:p>
    <w:p w14:paraId="4FCA1FDC" w14:textId="02DB6F9B" w:rsidR="0082498B" w:rsidRPr="00D27207" w:rsidRDefault="00053B29" w:rsidP="00D27207">
      <w:pPr>
        <w:pStyle w:val="ListParagraph"/>
        <w:tabs>
          <w:tab w:val="left" w:pos="507"/>
        </w:tabs>
        <w:ind w:left="426" w:right="220" w:firstLine="0"/>
        <w:rPr>
          <w:bCs/>
          <w:sz w:val="24"/>
        </w:rPr>
      </w:pPr>
      <w:r w:rsidRPr="00D27207">
        <w:rPr>
          <w:bCs/>
          <w:sz w:val="24"/>
        </w:rPr>
        <w:t xml:space="preserve">The </w:t>
      </w:r>
      <w:r w:rsidR="00437A5A" w:rsidRPr="00D27207">
        <w:rPr>
          <w:bCs/>
          <w:sz w:val="24"/>
        </w:rPr>
        <w:t>programme</w:t>
      </w:r>
      <w:r w:rsidRPr="00D27207">
        <w:rPr>
          <w:bCs/>
          <w:sz w:val="24"/>
        </w:rPr>
        <w:t xml:space="preserve"> </w:t>
      </w:r>
      <w:r w:rsidR="004B30C6" w:rsidRPr="00D27207">
        <w:rPr>
          <w:bCs/>
          <w:sz w:val="24"/>
        </w:rPr>
        <w:t>is intri</w:t>
      </w:r>
      <w:r w:rsidRPr="00D27207">
        <w:rPr>
          <w:bCs/>
          <w:sz w:val="24"/>
        </w:rPr>
        <w:t xml:space="preserve">nsically linked to the Authority’s Joint Waste </w:t>
      </w:r>
      <w:r w:rsidR="004B30C6" w:rsidRPr="00D27207">
        <w:rPr>
          <w:bCs/>
          <w:sz w:val="24"/>
        </w:rPr>
        <w:t>Management Strategy</w:t>
      </w:r>
      <w:r w:rsidR="00403BCA" w:rsidRPr="00D27207">
        <w:rPr>
          <w:bCs/>
          <w:sz w:val="24"/>
        </w:rPr>
        <w:t xml:space="preserve"> and Business Plan</w:t>
      </w:r>
      <w:r w:rsidRPr="00D27207">
        <w:rPr>
          <w:bCs/>
          <w:sz w:val="24"/>
        </w:rPr>
        <w:t xml:space="preserve">. The projects are driving the design of the new </w:t>
      </w:r>
      <w:r w:rsidR="003546A6" w:rsidRPr="00D27207">
        <w:rPr>
          <w:bCs/>
          <w:sz w:val="24"/>
        </w:rPr>
        <w:t>policies</w:t>
      </w:r>
      <w:r w:rsidR="004B30C6" w:rsidRPr="00D27207">
        <w:rPr>
          <w:bCs/>
          <w:sz w:val="24"/>
        </w:rPr>
        <w:t xml:space="preserve"> and programmes</w:t>
      </w:r>
      <w:r w:rsidRPr="00D27207">
        <w:rPr>
          <w:bCs/>
          <w:sz w:val="24"/>
        </w:rPr>
        <w:t xml:space="preserve"> through data, best practice and identification of opportunities</w:t>
      </w:r>
      <w:r w:rsidR="00A87979" w:rsidRPr="00D27207">
        <w:rPr>
          <w:bCs/>
          <w:sz w:val="24"/>
        </w:rPr>
        <w:t>,</w:t>
      </w:r>
      <w:r w:rsidRPr="00D27207">
        <w:rPr>
          <w:bCs/>
          <w:sz w:val="24"/>
        </w:rPr>
        <w:t xml:space="preserve"> as well as delivering change to meet the desired outcomes and targets </w:t>
      </w:r>
      <w:r w:rsidR="00403BCA" w:rsidRPr="00D27207">
        <w:rPr>
          <w:bCs/>
          <w:sz w:val="24"/>
        </w:rPr>
        <w:t xml:space="preserve">in the </w:t>
      </w:r>
      <w:r w:rsidRPr="00D27207">
        <w:rPr>
          <w:bCs/>
          <w:sz w:val="24"/>
        </w:rPr>
        <w:t>Strategy</w:t>
      </w:r>
      <w:r w:rsidR="00403BCA" w:rsidRPr="00D27207">
        <w:rPr>
          <w:bCs/>
          <w:sz w:val="24"/>
        </w:rPr>
        <w:t xml:space="preserve"> and the proposed Budget</w:t>
      </w:r>
      <w:r w:rsidRPr="00D27207">
        <w:rPr>
          <w:bCs/>
          <w:sz w:val="24"/>
        </w:rPr>
        <w:t>.</w:t>
      </w:r>
    </w:p>
    <w:p w14:paraId="1A5D0014" w14:textId="77777777" w:rsidR="005A2E9C" w:rsidRPr="00403BCA" w:rsidRDefault="005A2E9C" w:rsidP="00403BCA">
      <w:pPr>
        <w:pStyle w:val="ListParagraph"/>
        <w:tabs>
          <w:tab w:val="left" w:pos="507"/>
        </w:tabs>
        <w:spacing w:before="121"/>
        <w:ind w:left="360" w:right="224" w:firstLine="0"/>
        <w:rPr>
          <w:sz w:val="24"/>
        </w:rPr>
      </w:pP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rsidRPr="00437A5A" w14:paraId="67380D2B" w14:textId="77777777" w:rsidTr="00437A5A">
        <w:trPr>
          <w:trHeight w:val="416"/>
        </w:trPr>
        <w:tc>
          <w:tcPr>
            <w:tcW w:w="2410" w:type="dxa"/>
          </w:tcPr>
          <w:p w14:paraId="46229D41" w14:textId="77777777" w:rsidR="0082498B" w:rsidRPr="00437A5A" w:rsidRDefault="00053B29">
            <w:pPr>
              <w:pStyle w:val="TableParagraph"/>
              <w:spacing w:before="118"/>
              <w:ind w:left="107"/>
              <w:rPr>
                <w:rFonts w:ascii="Arial"/>
              </w:rPr>
            </w:pPr>
            <w:r w:rsidRPr="00437A5A">
              <w:rPr>
                <w:rFonts w:ascii="Arial"/>
              </w:rPr>
              <w:t>Contact</w:t>
            </w:r>
            <w:r w:rsidRPr="00437A5A">
              <w:rPr>
                <w:rFonts w:ascii="Arial"/>
                <w:spacing w:val="-1"/>
              </w:rPr>
              <w:t xml:space="preserve"> </w:t>
            </w:r>
            <w:r w:rsidRPr="00437A5A">
              <w:rPr>
                <w:rFonts w:ascii="Arial"/>
              </w:rPr>
              <w:t>Officers</w:t>
            </w:r>
          </w:p>
        </w:tc>
        <w:tc>
          <w:tcPr>
            <w:tcW w:w="7941" w:type="dxa"/>
          </w:tcPr>
          <w:p w14:paraId="38F7A972" w14:textId="0048993F" w:rsidR="0082498B" w:rsidRPr="00437A5A" w:rsidRDefault="00053B29">
            <w:pPr>
              <w:pStyle w:val="TableParagraph"/>
              <w:tabs>
                <w:tab w:val="right" w:pos="6687"/>
              </w:tabs>
              <w:spacing w:line="274" w:lineRule="exact"/>
              <w:ind w:left="107"/>
              <w:rPr>
                <w:rFonts w:ascii="Arial"/>
              </w:rPr>
            </w:pPr>
            <w:r w:rsidRPr="00437A5A">
              <w:rPr>
                <w:rFonts w:ascii="Arial"/>
              </w:rPr>
              <w:t>Peter</w:t>
            </w:r>
            <w:r w:rsidRPr="00437A5A">
              <w:rPr>
                <w:rFonts w:ascii="Arial"/>
                <w:spacing w:val="-4"/>
              </w:rPr>
              <w:t xml:space="preserve"> </w:t>
            </w:r>
            <w:r w:rsidRPr="00437A5A">
              <w:rPr>
                <w:rFonts w:ascii="Arial"/>
              </w:rPr>
              <w:t>Tilston, Projects</w:t>
            </w:r>
            <w:r w:rsidRPr="00437A5A">
              <w:rPr>
                <w:rFonts w:ascii="Arial"/>
                <w:spacing w:val="-2"/>
              </w:rPr>
              <w:t xml:space="preserve"> </w:t>
            </w:r>
            <w:r w:rsidRPr="00437A5A">
              <w:rPr>
                <w:rFonts w:ascii="Arial"/>
              </w:rPr>
              <w:t>Director</w:t>
            </w:r>
            <w:r w:rsidR="00125936" w:rsidRPr="00437A5A">
              <w:rPr>
                <w:rFonts w:ascii="Arial"/>
              </w:rPr>
              <w:t xml:space="preserve">                            07796 271 713</w:t>
            </w:r>
          </w:p>
          <w:p w14:paraId="102C444C" w14:textId="71CAAAD4" w:rsidR="0082498B" w:rsidRPr="00437A5A" w:rsidRDefault="00FC3414">
            <w:pPr>
              <w:pStyle w:val="TableParagraph"/>
              <w:ind w:left="107"/>
              <w:rPr>
                <w:rFonts w:ascii="Arial"/>
                <w:color w:val="0000FF"/>
                <w:u w:val="single" w:color="0000FF"/>
              </w:rPr>
            </w:pPr>
            <w:hyperlink r:id="rId11">
              <w:r w:rsidR="00053B29" w:rsidRPr="00437A5A">
                <w:rPr>
                  <w:rFonts w:ascii="Arial"/>
                  <w:color w:val="0000FF"/>
                  <w:u w:val="single" w:color="0000FF"/>
                </w:rPr>
                <w:t>petertilston@westlondonwaste.gov.uk</w:t>
              </w:r>
            </w:hyperlink>
          </w:p>
          <w:p w14:paraId="07086847" w14:textId="77777777" w:rsidR="00A87979" w:rsidRPr="00437A5A" w:rsidRDefault="00A87979">
            <w:pPr>
              <w:pStyle w:val="TableParagraph"/>
              <w:ind w:left="107"/>
              <w:rPr>
                <w:rFonts w:ascii="Arial"/>
              </w:rPr>
            </w:pPr>
          </w:p>
          <w:p w14:paraId="0F6C3DA1" w14:textId="148382A0" w:rsidR="009A39DA" w:rsidRPr="00437A5A" w:rsidRDefault="009A39DA">
            <w:pPr>
              <w:pStyle w:val="TableParagraph"/>
              <w:ind w:left="107"/>
              <w:rPr>
                <w:rFonts w:ascii="Arial"/>
              </w:rPr>
            </w:pPr>
            <w:r w:rsidRPr="00437A5A">
              <w:rPr>
                <w:rFonts w:ascii="Arial"/>
              </w:rPr>
              <w:t xml:space="preserve">Motoko Doolan, </w:t>
            </w:r>
            <w:r w:rsidR="00125936" w:rsidRPr="00437A5A">
              <w:rPr>
                <w:rFonts w:ascii="Arial"/>
              </w:rPr>
              <w:t xml:space="preserve">Net Zero </w:t>
            </w:r>
            <w:r w:rsidRPr="00437A5A">
              <w:rPr>
                <w:rFonts w:ascii="Arial"/>
              </w:rPr>
              <w:t>Carbon Manager</w:t>
            </w:r>
            <w:r w:rsidR="00125936" w:rsidRPr="00437A5A">
              <w:rPr>
                <w:rFonts w:ascii="Arial"/>
              </w:rPr>
              <w:t xml:space="preserve">        07917 075 876  </w:t>
            </w:r>
          </w:p>
          <w:p w14:paraId="361EBBE3" w14:textId="1BD56753" w:rsidR="009A39DA" w:rsidRPr="00437A5A" w:rsidRDefault="00FC3414">
            <w:pPr>
              <w:pStyle w:val="TableParagraph"/>
              <w:ind w:left="107"/>
              <w:rPr>
                <w:rFonts w:ascii="Arial"/>
              </w:rPr>
            </w:pPr>
            <w:hyperlink r:id="rId12" w:history="1">
              <w:r w:rsidR="009A39DA" w:rsidRPr="00437A5A">
                <w:rPr>
                  <w:rStyle w:val="Hyperlink"/>
                  <w:rFonts w:ascii="Arial"/>
                </w:rPr>
                <w:t>motokodoolan@westlondonwaste.gov.uk</w:t>
              </w:r>
            </w:hyperlink>
            <w:r w:rsidR="009A39DA" w:rsidRPr="00437A5A">
              <w:rPr>
                <w:rFonts w:ascii="Arial"/>
              </w:rPr>
              <w:t xml:space="preserve"> </w:t>
            </w:r>
          </w:p>
          <w:p w14:paraId="794AC5FB" w14:textId="77777777" w:rsidR="009A39DA" w:rsidRPr="00437A5A" w:rsidRDefault="009A39DA">
            <w:pPr>
              <w:pStyle w:val="TableParagraph"/>
              <w:ind w:left="107"/>
              <w:rPr>
                <w:rFonts w:ascii="Arial"/>
              </w:rPr>
            </w:pPr>
          </w:p>
          <w:p w14:paraId="1A280A94" w14:textId="46AC335A" w:rsidR="000B5E6A" w:rsidRPr="00437A5A" w:rsidRDefault="000B5E6A">
            <w:pPr>
              <w:pStyle w:val="TableParagraph"/>
              <w:ind w:left="107"/>
              <w:rPr>
                <w:rFonts w:ascii="Arial"/>
              </w:rPr>
            </w:pPr>
            <w:r w:rsidRPr="00437A5A">
              <w:rPr>
                <w:rFonts w:ascii="Arial"/>
              </w:rPr>
              <w:t>Sarah Ellis,</w:t>
            </w:r>
            <w:r w:rsidR="00802C97" w:rsidRPr="00437A5A">
              <w:rPr>
                <w:rFonts w:ascii="Arial"/>
              </w:rPr>
              <w:t xml:space="preserve"> Strategic Development Lead</w:t>
            </w:r>
            <w:r w:rsidRPr="00437A5A">
              <w:rPr>
                <w:rFonts w:ascii="Arial"/>
              </w:rPr>
              <w:tab/>
              <w:t xml:space="preserve">  </w:t>
            </w:r>
            <w:r w:rsidR="00437A5A">
              <w:rPr>
                <w:rFonts w:ascii="Arial"/>
              </w:rPr>
              <w:t xml:space="preserve">      </w:t>
            </w:r>
            <w:r w:rsidRPr="00437A5A">
              <w:rPr>
                <w:rFonts w:ascii="Arial"/>
              </w:rPr>
              <w:t>07584 631</w:t>
            </w:r>
            <w:r w:rsidR="00125936" w:rsidRPr="00437A5A">
              <w:rPr>
                <w:rFonts w:ascii="Arial"/>
              </w:rPr>
              <w:t xml:space="preserve"> </w:t>
            </w:r>
            <w:r w:rsidRPr="00437A5A">
              <w:rPr>
                <w:rFonts w:ascii="Arial"/>
              </w:rPr>
              <w:t>710</w:t>
            </w:r>
          </w:p>
          <w:p w14:paraId="07F1EDAF" w14:textId="51CFB9B1" w:rsidR="0082498B" w:rsidRPr="00437A5A" w:rsidRDefault="00FC3414" w:rsidP="00E55764">
            <w:pPr>
              <w:pStyle w:val="TableParagraph"/>
              <w:ind w:left="107"/>
              <w:rPr>
                <w:rFonts w:ascii="Arial"/>
              </w:rPr>
            </w:pPr>
            <w:hyperlink r:id="rId13" w:history="1">
              <w:r w:rsidR="000B5E6A" w:rsidRPr="00437A5A">
                <w:rPr>
                  <w:rStyle w:val="Hyperlink"/>
                  <w:rFonts w:ascii="Arial"/>
                </w:rPr>
                <w:t>sarahellis@westlondonwaste.gov.uk</w:t>
              </w:r>
            </w:hyperlink>
            <w:r w:rsidR="000B5E6A" w:rsidRPr="00437A5A">
              <w:rPr>
                <w:rFonts w:ascii="Arial"/>
              </w:rPr>
              <w:tab/>
            </w:r>
            <w:r w:rsidR="000B5E6A" w:rsidRPr="00437A5A">
              <w:rPr>
                <w:rFonts w:ascii="Arial"/>
              </w:rPr>
              <w:tab/>
            </w:r>
          </w:p>
        </w:tc>
      </w:tr>
    </w:tbl>
    <w:p w14:paraId="0C486C89" w14:textId="77777777" w:rsidR="0024303D" w:rsidRDefault="0024303D" w:rsidP="00C2081D">
      <w:pPr>
        <w:spacing w:before="75"/>
        <w:ind w:right="-207"/>
        <w:jc w:val="both"/>
        <w:rPr>
          <w:b/>
          <w:bCs/>
        </w:rPr>
        <w:sectPr w:rsidR="0024303D" w:rsidSect="003042D0">
          <w:pgSz w:w="11910" w:h="16850"/>
          <w:pgMar w:top="993" w:right="459" w:bottom="1134" w:left="459" w:header="720" w:footer="720" w:gutter="0"/>
          <w:cols w:space="720"/>
          <w:docGrid w:linePitch="299"/>
        </w:sectPr>
      </w:pPr>
    </w:p>
    <w:p w14:paraId="552F6834" w14:textId="77C748AB" w:rsidR="004D3AAD" w:rsidRDefault="004D3AAD" w:rsidP="0044383D">
      <w:pPr>
        <w:spacing w:before="75"/>
        <w:ind w:left="-142" w:right="-207"/>
        <w:jc w:val="both"/>
        <w:rPr>
          <w:b/>
          <w:bCs/>
        </w:rPr>
      </w:pPr>
      <w:r w:rsidRPr="004D3AAD">
        <w:rPr>
          <w:b/>
          <w:bCs/>
        </w:rPr>
        <w:lastRenderedPageBreak/>
        <w:t>Appendix</w:t>
      </w:r>
      <w:r w:rsidR="00C2081D">
        <w:rPr>
          <w:b/>
          <w:bCs/>
        </w:rPr>
        <w:t xml:space="preserve"> 1 </w:t>
      </w:r>
      <w:r>
        <w:rPr>
          <w:b/>
          <w:bCs/>
        </w:rPr>
        <w:t xml:space="preserve">– </w:t>
      </w:r>
      <w:r w:rsidR="006A7840">
        <w:rPr>
          <w:b/>
          <w:bCs/>
        </w:rPr>
        <w:t>WLWA average waste composition</w:t>
      </w:r>
    </w:p>
    <w:p w14:paraId="3D07FFB7" w14:textId="36859BD6" w:rsidR="004D3AAD" w:rsidRPr="004D3AAD" w:rsidRDefault="002B775D" w:rsidP="00437A5A">
      <w:pPr>
        <w:spacing w:before="75"/>
        <w:ind w:left="-142" w:right="-207"/>
        <w:jc w:val="center"/>
        <w:rPr>
          <w:b/>
          <w:bCs/>
        </w:rPr>
      </w:pPr>
      <w:r w:rsidRPr="002B775D">
        <w:rPr>
          <w:b/>
          <w:bCs/>
          <w:noProof/>
          <w:lang w:eastAsia="en-GB"/>
        </w:rPr>
        <w:drawing>
          <wp:inline distT="0" distB="0" distL="0" distR="0" wp14:anchorId="3EB83197" wp14:editId="68392DFE">
            <wp:extent cx="9318226" cy="5676900"/>
            <wp:effectExtent l="0" t="0" r="0" b="0"/>
            <wp:docPr id="2" name="Picture 1" descr="Chart, treemap chart&#10;&#10;Description automatically generated">
              <a:extLst xmlns:a="http://schemas.openxmlformats.org/drawingml/2006/main">
                <a:ext uri="{FF2B5EF4-FFF2-40B4-BE49-F238E27FC236}">
                  <a16:creationId xmlns:a16="http://schemas.microsoft.com/office/drawing/2014/main" id="{819F414D-4A26-5680-A4E2-19C4575516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art, treemap chart&#10;&#10;Description automatically generated">
                      <a:extLst>
                        <a:ext uri="{FF2B5EF4-FFF2-40B4-BE49-F238E27FC236}">
                          <a16:creationId xmlns:a16="http://schemas.microsoft.com/office/drawing/2014/main" id="{819F414D-4A26-5680-A4E2-19C457551611}"/>
                        </a:ext>
                      </a:extLst>
                    </pic:cNvPr>
                    <pic:cNvPicPr>
                      <a:picLocks noChangeAspect="1"/>
                    </pic:cNvPicPr>
                  </pic:nvPicPr>
                  <pic:blipFill>
                    <a:blip r:embed="rId14"/>
                    <a:stretch>
                      <a:fillRect/>
                    </a:stretch>
                  </pic:blipFill>
                  <pic:spPr>
                    <a:xfrm>
                      <a:off x="0" y="0"/>
                      <a:ext cx="9350662" cy="5696661"/>
                    </a:xfrm>
                    <a:prstGeom prst="rect">
                      <a:avLst/>
                    </a:prstGeom>
                  </pic:spPr>
                </pic:pic>
              </a:graphicData>
            </a:graphic>
          </wp:inline>
        </w:drawing>
      </w:r>
    </w:p>
    <w:sectPr w:rsidR="004D3AAD" w:rsidRPr="004D3AAD" w:rsidSect="00437A5A">
      <w:pgSz w:w="16838" w:h="11906" w:orient="landscape" w:code="9"/>
      <w:pgMar w:top="459" w:right="1281" w:bottom="459" w:left="27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multilevel"/>
    <w:tmpl w:val="0809001F"/>
    <w:lvl w:ilvl="0">
      <w:start w:val="1"/>
      <w:numFmt w:val="decimal"/>
      <w:lvlText w:val="%1."/>
      <w:lvlJc w:val="left"/>
      <w:pPr>
        <w:ind w:left="360" w:hanging="360"/>
      </w:pPr>
      <w:rPr>
        <w:rFonts w:hint="default"/>
        <w:w w:val="100"/>
        <w:lang w:val="en-GB" w:eastAsia="en-US" w:bidi="ar-SA"/>
      </w:rPr>
    </w:lvl>
    <w:lvl w:ilvl="1">
      <w:start w:val="1"/>
      <w:numFmt w:val="decimal"/>
      <w:lvlText w:val="%1.%2."/>
      <w:lvlJc w:val="left"/>
      <w:pPr>
        <w:ind w:left="792" w:hanging="432"/>
      </w:pPr>
      <w:rPr>
        <w:rFonts w:hint="default"/>
        <w:b w:val="0"/>
        <w:bCs w:val="0"/>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0DC44A61"/>
    <w:multiLevelType w:val="hybridMultilevel"/>
    <w:tmpl w:val="82D230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EF622A3"/>
    <w:multiLevelType w:val="hybridMultilevel"/>
    <w:tmpl w:val="F3E66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29F26B0B"/>
    <w:multiLevelType w:val="hybridMultilevel"/>
    <w:tmpl w:val="C6B6B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895F6B"/>
    <w:multiLevelType w:val="hybridMultilevel"/>
    <w:tmpl w:val="C28E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F2ACC"/>
    <w:multiLevelType w:val="hybridMultilevel"/>
    <w:tmpl w:val="0770AC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4D97575"/>
    <w:multiLevelType w:val="hybridMultilevel"/>
    <w:tmpl w:val="AFAE15E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2" w15:restartNumberingAfterBreak="0">
    <w:nsid w:val="525C6C98"/>
    <w:multiLevelType w:val="hybridMultilevel"/>
    <w:tmpl w:val="A2ECAB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7A1F8A"/>
    <w:multiLevelType w:val="hybridMultilevel"/>
    <w:tmpl w:val="2D6CFE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619D0B1E"/>
    <w:multiLevelType w:val="hybridMultilevel"/>
    <w:tmpl w:val="60644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05F4EB8"/>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17" w15:restartNumberingAfterBreak="0">
    <w:nsid w:val="722253C3"/>
    <w:multiLevelType w:val="hybridMultilevel"/>
    <w:tmpl w:val="4B209B3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19" w15:restartNumberingAfterBreak="0">
    <w:nsid w:val="73960AB4"/>
    <w:multiLevelType w:val="hybridMultilevel"/>
    <w:tmpl w:val="7930BC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abstractNumId w:val="18"/>
  </w:num>
  <w:num w:numId="2">
    <w:abstractNumId w:val="1"/>
  </w:num>
  <w:num w:numId="3">
    <w:abstractNumId w:val="20"/>
  </w:num>
  <w:num w:numId="4">
    <w:abstractNumId w:val="2"/>
  </w:num>
  <w:num w:numId="5">
    <w:abstractNumId w:val="16"/>
  </w:num>
  <w:num w:numId="6">
    <w:abstractNumId w:val="7"/>
  </w:num>
  <w:num w:numId="7">
    <w:abstractNumId w:val="0"/>
  </w:num>
  <w:num w:numId="8">
    <w:abstractNumId w:val="5"/>
  </w:num>
  <w:num w:numId="9">
    <w:abstractNumId w:val="6"/>
  </w:num>
  <w:num w:numId="10">
    <w:abstractNumId w:val="4"/>
  </w:num>
  <w:num w:numId="11">
    <w:abstractNumId w:val="3"/>
  </w:num>
  <w:num w:numId="12">
    <w:abstractNumId w:val="14"/>
  </w:num>
  <w:num w:numId="13">
    <w:abstractNumId w:val="17"/>
  </w:num>
  <w:num w:numId="14">
    <w:abstractNumId w:val="13"/>
  </w:num>
  <w:num w:numId="15">
    <w:abstractNumId w:val="19"/>
  </w:num>
  <w:num w:numId="16">
    <w:abstractNumId w:val="9"/>
  </w:num>
  <w:num w:numId="17">
    <w:abstractNumId w:val="11"/>
  </w:num>
  <w:num w:numId="18">
    <w:abstractNumId w:val="8"/>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120B5"/>
    <w:rsid w:val="000158D9"/>
    <w:rsid w:val="000304F7"/>
    <w:rsid w:val="000420D5"/>
    <w:rsid w:val="00045F7B"/>
    <w:rsid w:val="00053B29"/>
    <w:rsid w:val="00057DE8"/>
    <w:rsid w:val="00067A9E"/>
    <w:rsid w:val="000754CF"/>
    <w:rsid w:val="000835B7"/>
    <w:rsid w:val="00087CF9"/>
    <w:rsid w:val="000938C9"/>
    <w:rsid w:val="0009398F"/>
    <w:rsid w:val="000B5E6A"/>
    <w:rsid w:val="000C3773"/>
    <w:rsid w:val="000E0376"/>
    <w:rsid w:val="000E6BA2"/>
    <w:rsid w:val="000F6FD3"/>
    <w:rsid w:val="001018C7"/>
    <w:rsid w:val="001121DC"/>
    <w:rsid w:val="00125936"/>
    <w:rsid w:val="001334C4"/>
    <w:rsid w:val="001507CA"/>
    <w:rsid w:val="00156E2F"/>
    <w:rsid w:val="00160ACC"/>
    <w:rsid w:val="0019022F"/>
    <w:rsid w:val="001905CE"/>
    <w:rsid w:val="001B72B7"/>
    <w:rsid w:val="001C631E"/>
    <w:rsid w:val="00226673"/>
    <w:rsid w:val="002331AA"/>
    <w:rsid w:val="0024303D"/>
    <w:rsid w:val="00252565"/>
    <w:rsid w:val="002609F8"/>
    <w:rsid w:val="002A58C6"/>
    <w:rsid w:val="002B775D"/>
    <w:rsid w:val="002C10DA"/>
    <w:rsid w:val="002C14A4"/>
    <w:rsid w:val="002C7E23"/>
    <w:rsid w:val="002D7209"/>
    <w:rsid w:val="002E2702"/>
    <w:rsid w:val="003042D0"/>
    <w:rsid w:val="00310A9B"/>
    <w:rsid w:val="003145CD"/>
    <w:rsid w:val="003242EE"/>
    <w:rsid w:val="003421EF"/>
    <w:rsid w:val="003546A6"/>
    <w:rsid w:val="003828A1"/>
    <w:rsid w:val="003A3688"/>
    <w:rsid w:val="003B531D"/>
    <w:rsid w:val="003F0548"/>
    <w:rsid w:val="003F7F75"/>
    <w:rsid w:val="00400659"/>
    <w:rsid w:val="00403BCA"/>
    <w:rsid w:val="0040493F"/>
    <w:rsid w:val="00405477"/>
    <w:rsid w:val="0041713B"/>
    <w:rsid w:val="00437A5A"/>
    <w:rsid w:val="0044383D"/>
    <w:rsid w:val="004516EF"/>
    <w:rsid w:val="00456DAD"/>
    <w:rsid w:val="00464265"/>
    <w:rsid w:val="004B30C6"/>
    <w:rsid w:val="004C5E6A"/>
    <w:rsid w:val="004D3AAD"/>
    <w:rsid w:val="004E048A"/>
    <w:rsid w:val="00525BC1"/>
    <w:rsid w:val="00530844"/>
    <w:rsid w:val="00536656"/>
    <w:rsid w:val="00555A43"/>
    <w:rsid w:val="00585C7D"/>
    <w:rsid w:val="005A2E9C"/>
    <w:rsid w:val="005C449A"/>
    <w:rsid w:val="005D1B71"/>
    <w:rsid w:val="005D47E7"/>
    <w:rsid w:val="005E7D66"/>
    <w:rsid w:val="005F2AEB"/>
    <w:rsid w:val="005F6A6D"/>
    <w:rsid w:val="0060215A"/>
    <w:rsid w:val="006038A6"/>
    <w:rsid w:val="00615445"/>
    <w:rsid w:val="0062559A"/>
    <w:rsid w:val="00627F6E"/>
    <w:rsid w:val="006368AB"/>
    <w:rsid w:val="00660612"/>
    <w:rsid w:val="00666173"/>
    <w:rsid w:val="00690255"/>
    <w:rsid w:val="006A7840"/>
    <w:rsid w:val="006B0B6D"/>
    <w:rsid w:val="006C284A"/>
    <w:rsid w:val="006D013F"/>
    <w:rsid w:val="006F5900"/>
    <w:rsid w:val="006F7861"/>
    <w:rsid w:val="00702D1E"/>
    <w:rsid w:val="00736704"/>
    <w:rsid w:val="00745AAA"/>
    <w:rsid w:val="007502F7"/>
    <w:rsid w:val="00761CEC"/>
    <w:rsid w:val="00767C1A"/>
    <w:rsid w:val="00784C31"/>
    <w:rsid w:val="00786AA0"/>
    <w:rsid w:val="00793425"/>
    <w:rsid w:val="007B028E"/>
    <w:rsid w:val="007B5EA9"/>
    <w:rsid w:val="007C1928"/>
    <w:rsid w:val="007C2406"/>
    <w:rsid w:val="007D1818"/>
    <w:rsid w:val="007D46AF"/>
    <w:rsid w:val="007E24EA"/>
    <w:rsid w:val="007E6A83"/>
    <w:rsid w:val="007F7432"/>
    <w:rsid w:val="00802C97"/>
    <w:rsid w:val="00803C39"/>
    <w:rsid w:val="00817F5D"/>
    <w:rsid w:val="008208FC"/>
    <w:rsid w:val="0082498B"/>
    <w:rsid w:val="00824C79"/>
    <w:rsid w:val="0082603A"/>
    <w:rsid w:val="00833671"/>
    <w:rsid w:val="008339FF"/>
    <w:rsid w:val="00847B0C"/>
    <w:rsid w:val="00870A28"/>
    <w:rsid w:val="008746CA"/>
    <w:rsid w:val="00881182"/>
    <w:rsid w:val="00887DF7"/>
    <w:rsid w:val="008A711E"/>
    <w:rsid w:val="008B7F69"/>
    <w:rsid w:val="008C1548"/>
    <w:rsid w:val="008C6EC6"/>
    <w:rsid w:val="008E186A"/>
    <w:rsid w:val="008E5CF0"/>
    <w:rsid w:val="0092510B"/>
    <w:rsid w:val="00925186"/>
    <w:rsid w:val="00927CB5"/>
    <w:rsid w:val="0094529B"/>
    <w:rsid w:val="00963C13"/>
    <w:rsid w:val="009723F5"/>
    <w:rsid w:val="009750CE"/>
    <w:rsid w:val="009A39DA"/>
    <w:rsid w:val="009A7C99"/>
    <w:rsid w:val="009B526D"/>
    <w:rsid w:val="009D20DA"/>
    <w:rsid w:val="009E4459"/>
    <w:rsid w:val="009F4EAF"/>
    <w:rsid w:val="00A14497"/>
    <w:rsid w:val="00A1676D"/>
    <w:rsid w:val="00A34E95"/>
    <w:rsid w:val="00A535D8"/>
    <w:rsid w:val="00A71864"/>
    <w:rsid w:val="00A84015"/>
    <w:rsid w:val="00A86707"/>
    <w:rsid w:val="00A87979"/>
    <w:rsid w:val="00A942D4"/>
    <w:rsid w:val="00AA23B4"/>
    <w:rsid w:val="00AA7B92"/>
    <w:rsid w:val="00AB0D40"/>
    <w:rsid w:val="00AB2437"/>
    <w:rsid w:val="00AB3F11"/>
    <w:rsid w:val="00AC4D11"/>
    <w:rsid w:val="00AD657F"/>
    <w:rsid w:val="00B079C4"/>
    <w:rsid w:val="00B1363E"/>
    <w:rsid w:val="00B236CE"/>
    <w:rsid w:val="00B53FD2"/>
    <w:rsid w:val="00B661D9"/>
    <w:rsid w:val="00B701F1"/>
    <w:rsid w:val="00B7120D"/>
    <w:rsid w:val="00B80F42"/>
    <w:rsid w:val="00B83384"/>
    <w:rsid w:val="00B90233"/>
    <w:rsid w:val="00B92670"/>
    <w:rsid w:val="00B926A1"/>
    <w:rsid w:val="00BB7A6F"/>
    <w:rsid w:val="00BC0E41"/>
    <w:rsid w:val="00BD6499"/>
    <w:rsid w:val="00BF7E3F"/>
    <w:rsid w:val="00C2081D"/>
    <w:rsid w:val="00C23329"/>
    <w:rsid w:val="00C54D4C"/>
    <w:rsid w:val="00C56E32"/>
    <w:rsid w:val="00C6713B"/>
    <w:rsid w:val="00C75A47"/>
    <w:rsid w:val="00C76B1F"/>
    <w:rsid w:val="00C82023"/>
    <w:rsid w:val="00C82C32"/>
    <w:rsid w:val="00C959EF"/>
    <w:rsid w:val="00CA5D99"/>
    <w:rsid w:val="00CD7D1C"/>
    <w:rsid w:val="00CE3516"/>
    <w:rsid w:val="00CF27DF"/>
    <w:rsid w:val="00D01BB4"/>
    <w:rsid w:val="00D03EB7"/>
    <w:rsid w:val="00D05240"/>
    <w:rsid w:val="00D24EE3"/>
    <w:rsid w:val="00D27207"/>
    <w:rsid w:val="00D32CB5"/>
    <w:rsid w:val="00D42A21"/>
    <w:rsid w:val="00D53C04"/>
    <w:rsid w:val="00D57F87"/>
    <w:rsid w:val="00D6721B"/>
    <w:rsid w:val="00D74887"/>
    <w:rsid w:val="00D9008A"/>
    <w:rsid w:val="00D952C8"/>
    <w:rsid w:val="00D95A17"/>
    <w:rsid w:val="00DB2CF1"/>
    <w:rsid w:val="00DB455F"/>
    <w:rsid w:val="00DC072D"/>
    <w:rsid w:val="00DC32F0"/>
    <w:rsid w:val="00DD651F"/>
    <w:rsid w:val="00E0168F"/>
    <w:rsid w:val="00E0665A"/>
    <w:rsid w:val="00E15FB4"/>
    <w:rsid w:val="00E261E4"/>
    <w:rsid w:val="00E311F8"/>
    <w:rsid w:val="00E55764"/>
    <w:rsid w:val="00E90694"/>
    <w:rsid w:val="00E92831"/>
    <w:rsid w:val="00E96DAB"/>
    <w:rsid w:val="00ED1DD8"/>
    <w:rsid w:val="00ED3BF8"/>
    <w:rsid w:val="00EE0B55"/>
    <w:rsid w:val="00EE2B11"/>
    <w:rsid w:val="00EE6AEE"/>
    <w:rsid w:val="00EF453B"/>
    <w:rsid w:val="00F02764"/>
    <w:rsid w:val="00F11F08"/>
    <w:rsid w:val="00F207C5"/>
    <w:rsid w:val="00F208E7"/>
    <w:rsid w:val="00F25D32"/>
    <w:rsid w:val="00F26A6C"/>
    <w:rsid w:val="00F27BA1"/>
    <w:rsid w:val="00F50529"/>
    <w:rsid w:val="00F52144"/>
    <w:rsid w:val="00F60FE3"/>
    <w:rsid w:val="00F63AFC"/>
    <w:rsid w:val="00F71189"/>
    <w:rsid w:val="00F867E9"/>
    <w:rsid w:val="00FA255C"/>
    <w:rsid w:val="00FA49F6"/>
    <w:rsid w:val="00FC3414"/>
    <w:rsid w:val="00FC6847"/>
    <w:rsid w:val="00FD0E69"/>
    <w:rsid w:val="00FE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2">
    <w:name w:val="heading 2"/>
    <w:basedOn w:val="Normal"/>
    <w:next w:val="Normal"/>
    <w:link w:val="Heading2Char"/>
    <w:uiPriority w:val="9"/>
    <w:unhideWhenUsed/>
    <w:qFormat/>
    <w:rsid w:val="006368AB"/>
    <w:pPr>
      <w:keepNext/>
      <w:widowControl/>
      <w:autoSpaceDE/>
      <w:autoSpaceDN/>
      <w:jc w:val="right"/>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5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1E4"/>
    <w:rPr>
      <w:sz w:val="16"/>
      <w:szCs w:val="16"/>
    </w:rPr>
  </w:style>
  <w:style w:type="paragraph" w:styleId="CommentText">
    <w:name w:val="annotation text"/>
    <w:basedOn w:val="Normal"/>
    <w:link w:val="CommentTextChar"/>
    <w:uiPriority w:val="99"/>
    <w:semiHidden/>
    <w:unhideWhenUsed/>
    <w:rsid w:val="00E261E4"/>
    <w:rPr>
      <w:sz w:val="20"/>
      <w:szCs w:val="20"/>
    </w:rPr>
  </w:style>
  <w:style w:type="character" w:customStyle="1" w:styleId="CommentTextChar">
    <w:name w:val="Comment Text Char"/>
    <w:basedOn w:val="DefaultParagraphFont"/>
    <w:link w:val="CommentText"/>
    <w:uiPriority w:val="99"/>
    <w:semiHidden/>
    <w:rsid w:val="00E261E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261E4"/>
    <w:rPr>
      <w:b/>
      <w:bCs/>
    </w:rPr>
  </w:style>
  <w:style w:type="character" w:customStyle="1" w:styleId="CommentSubjectChar">
    <w:name w:val="Comment Subject Char"/>
    <w:basedOn w:val="CommentTextChar"/>
    <w:link w:val="CommentSubject"/>
    <w:uiPriority w:val="99"/>
    <w:semiHidden/>
    <w:rsid w:val="00E261E4"/>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E26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E4"/>
    <w:rPr>
      <w:rFonts w:ascii="Segoe UI" w:eastAsia="Arial" w:hAnsi="Segoe UI" w:cs="Segoe UI"/>
      <w:sz w:val="18"/>
      <w:szCs w:val="18"/>
      <w:lang w:val="en-GB"/>
    </w:rPr>
  </w:style>
  <w:style w:type="character" w:customStyle="1" w:styleId="UnresolvedMention2">
    <w:name w:val="Unresolved Mention2"/>
    <w:basedOn w:val="DefaultParagraphFont"/>
    <w:uiPriority w:val="99"/>
    <w:semiHidden/>
    <w:unhideWhenUsed/>
    <w:rsid w:val="00AD657F"/>
    <w:rPr>
      <w:color w:val="605E5C"/>
      <w:shd w:val="clear" w:color="auto" w:fill="E1DFDD"/>
    </w:rPr>
  </w:style>
  <w:style w:type="paragraph" w:styleId="Subtitle">
    <w:name w:val="Subtitle"/>
    <w:basedOn w:val="Normal"/>
    <w:next w:val="Normal"/>
    <w:link w:val="SubtitleChar"/>
    <w:uiPriority w:val="11"/>
    <w:qFormat/>
    <w:rsid w:val="00CF27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7DF"/>
    <w:rPr>
      <w:rFonts w:eastAsiaTheme="minorEastAsia"/>
      <w:color w:val="5A5A5A" w:themeColor="text1" w:themeTint="A5"/>
      <w:spacing w:val="15"/>
      <w:lang w:val="en-GB"/>
    </w:rPr>
  </w:style>
  <w:style w:type="character" w:customStyle="1" w:styleId="Heading2Char">
    <w:name w:val="Heading 2 Char"/>
    <w:basedOn w:val="DefaultParagraphFont"/>
    <w:link w:val="Heading2"/>
    <w:uiPriority w:val="9"/>
    <w:rsid w:val="006368AB"/>
    <w:rPr>
      <w:rFonts w:ascii="Arial" w:hAnsi="Arial" w:cs="Arial"/>
      <w:b/>
      <w:lang w:val="en-GB"/>
    </w:rPr>
  </w:style>
  <w:style w:type="paragraph" w:styleId="Revision">
    <w:name w:val="Revision"/>
    <w:hidden/>
    <w:uiPriority w:val="99"/>
    <w:semiHidden/>
    <w:rsid w:val="00D74887"/>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ellis@westlondonwast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tokodoolan@westlondonwast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tilston@westlondonwast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19617CD1CCE4D828F7CB8F79F4999" ma:contentTypeVersion="14" ma:contentTypeDescription="Create a new document." ma:contentTypeScope="" ma:versionID="109497051e1f27b6aeaa59cc706d2e84">
  <xsd:schema xmlns:xsd="http://www.w3.org/2001/XMLSchema" xmlns:xs="http://www.w3.org/2001/XMLSchema" xmlns:p="http://schemas.microsoft.com/office/2006/metadata/properties" xmlns:ns3="ce30a8b6-690b-4fb4-bb74-d8f0ee2e935f" xmlns:ns4="3482b747-53f4-4157-b700-49f8c7a2d410" targetNamespace="http://schemas.microsoft.com/office/2006/metadata/properties" ma:root="true" ma:fieldsID="33632d40506bb7f946c29135ca6e61eb" ns3:_="" ns4:_="">
    <xsd:import namespace="ce30a8b6-690b-4fb4-bb74-d8f0ee2e935f"/>
    <xsd:import namespace="3482b747-53f4-4157-b700-49f8c7a2d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a8b6-690b-4fb4-bb74-d8f0ee2e9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b747-53f4-4157-b700-49f8c7a2d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75C3-7B7B-4363-AF28-D99729ED7812}">
  <ds:schemaRefs>
    <ds:schemaRef ds:uri="http://schemas.microsoft.com/sharepoint/v3/contenttype/forms"/>
  </ds:schemaRefs>
</ds:datastoreItem>
</file>

<file path=customXml/itemProps2.xml><?xml version="1.0" encoding="utf-8"?>
<ds:datastoreItem xmlns:ds="http://schemas.openxmlformats.org/officeDocument/2006/customXml" ds:itemID="{C599805D-1820-4EEC-A8E8-2619B55E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a8b6-690b-4fb4-bb74-d8f0ee2e935f"/>
    <ds:schemaRef ds:uri="3482b747-53f4-4157-b700-49f8c7a2d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2CA68-C19C-4DEA-B0A1-557F6A962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0B419D-11BE-45A1-BE51-EFA849BF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Peter Tilston</cp:lastModifiedBy>
  <cp:revision>5</cp:revision>
  <cp:lastPrinted>2022-09-08T11:40:00Z</cp:lastPrinted>
  <dcterms:created xsi:type="dcterms:W3CDTF">2023-01-10T15:12:00Z</dcterms:created>
  <dcterms:modified xsi:type="dcterms:W3CDTF">2023-01-10T17:04:00Z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y fmtid="{D5CDD505-2E9C-101B-9397-08002B2CF9AE}" pid="5" name="ContentTypeId">
    <vt:lpwstr>0x0101000A919617CD1CCE4D828F7CB8F79F4999</vt:lpwstr>
  </property>
</Properties>
</file>